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637"/>
        <w:gridCol w:w="3605"/>
      </w:tblGrid>
      <w:tr w:rsidR="00BD0382" w:rsidRPr="00437808">
        <w:tc>
          <w:tcPr>
            <w:tcW w:w="5637" w:type="dxa"/>
          </w:tcPr>
          <w:p w:rsidR="00BD0382" w:rsidRPr="00437808" w:rsidRDefault="00BD0382" w:rsidP="000740FD">
            <w:pPr>
              <w:pStyle w:val="Heading31"/>
              <w:spacing w:after="120" w:line="240" w:lineRule="auto"/>
              <w:ind w:left="0" w:right="-855" w:firstLine="0"/>
              <w:outlineLvl w:val="0"/>
              <w:rPr>
                <w:rFonts w:ascii="Calibri" w:hAnsi="Calibri" w:cs="Arial"/>
                <w:sz w:val="36"/>
                <w:szCs w:val="28"/>
                <w:lang w:val="en-GB"/>
              </w:rPr>
            </w:pPr>
          </w:p>
        </w:tc>
        <w:tc>
          <w:tcPr>
            <w:tcW w:w="3605" w:type="dxa"/>
          </w:tcPr>
          <w:p w:rsidR="00BD0382" w:rsidRPr="00437808" w:rsidRDefault="00BD0382" w:rsidP="000740FD">
            <w:pPr>
              <w:pStyle w:val="Heading31"/>
              <w:spacing w:after="120" w:line="240" w:lineRule="auto"/>
              <w:ind w:left="0" w:right="-855" w:firstLine="0"/>
              <w:outlineLvl w:val="0"/>
              <w:rPr>
                <w:rFonts w:ascii="Calibri" w:hAnsi="Calibri" w:cs="Arial"/>
                <w:sz w:val="36"/>
                <w:szCs w:val="28"/>
                <w:lang w:val="en-GB"/>
              </w:rPr>
            </w:pPr>
            <w:r w:rsidRPr="00437808">
              <w:rPr>
                <w:rFonts w:ascii="Calibri" w:hAnsi="Calibri" w:cs="Arial"/>
                <w:noProof/>
                <w:sz w:val="36"/>
                <w:szCs w:val="28"/>
                <w:lang w:val="en-GB" w:eastAsia="en-GB"/>
              </w:rPr>
              <w:drawing>
                <wp:inline distT="0" distB="0" distL="0" distR="0">
                  <wp:extent cx="1926476" cy="447365"/>
                  <wp:effectExtent l="25400" t="0" r="3924"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6476" cy="447365"/>
                          </a:xfrm>
                          <a:prstGeom prst="rect">
                            <a:avLst/>
                          </a:prstGeom>
                          <a:noFill/>
                          <a:ln w="9525">
                            <a:noFill/>
                            <a:miter lim="800000"/>
                            <a:headEnd/>
                            <a:tailEnd/>
                          </a:ln>
                        </pic:spPr>
                      </pic:pic>
                    </a:graphicData>
                  </a:graphic>
                </wp:inline>
              </w:drawing>
            </w:r>
          </w:p>
        </w:tc>
      </w:tr>
    </w:tbl>
    <w:p w:rsidR="008D4F70" w:rsidRPr="00437808" w:rsidRDefault="008D4F70" w:rsidP="000740FD">
      <w:pPr>
        <w:pStyle w:val="Heading31"/>
        <w:spacing w:after="120" w:line="240" w:lineRule="auto"/>
        <w:ind w:left="0" w:right="-855" w:firstLine="0"/>
        <w:outlineLvl w:val="0"/>
        <w:rPr>
          <w:rFonts w:ascii="Calibri" w:hAnsi="Calibri" w:cs="Arial"/>
          <w:sz w:val="36"/>
          <w:lang w:val="en-GB"/>
        </w:rPr>
      </w:pPr>
      <w:r w:rsidRPr="00437808">
        <w:rPr>
          <w:rFonts w:ascii="Calibri" w:hAnsi="Calibri" w:cs="Arial"/>
          <w:sz w:val="36"/>
          <w:szCs w:val="28"/>
          <w:lang w:val="en-GB"/>
        </w:rPr>
        <w:t>University Structure P</w:t>
      </w:r>
      <w:r w:rsidR="00C315E5" w:rsidRPr="00437808">
        <w:rPr>
          <w:rFonts w:ascii="Calibri" w:hAnsi="Calibri" w:cs="Arial"/>
          <w:sz w:val="36"/>
          <w:szCs w:val="28"/>
          <w:lang w:val="en-GB"/>
        </w:rPr>
        <w:t xml:space="preserve">roject </w:t>
      </w:r>
      <w:r w:rsidRPr="00437808">
        <w:rPr>
          <w:rFonts w:ascii="Calibri" w:hAnsi="Calibri" w:cs="Arial"/>
          <w:sz w:val="36"/>
          <w:szCs w:val="28"/>
          <w:lang w:val="en-GB"/>
        </w:rPr>
        <w:t>M</w:t>
      </w:r>
      <w:r w:rsidR="00C315E5" w:rsidRPr="00437808">
        <w:rPr>
          <w:rFonts w:ascii="Calibri" w:hAnsi="Calibri" w:cs="Arial"/>
          <w:sz w:val="36"/>
          <w:szCs w:val="28"/>
          <w:lang w:val="en-GB"/>
        </w:rPr>
        <w:t xml:space="preserve">anagement </w:t>
      </w:r>
      <w:r w:rsidRPr="00437808">
        <w:rPr>
          <w:rFonts w:ascii="Calibri" w:hAnsi="Calibri" w:cs="Arial"/>
          <w:sz w:val="36"/>
          <w:szCs w:val="28"/>
          <w:lang w:val="en-GB"/>
        </w:rPr>
        <w:t>B</w:t>
      </w:r>
      <w:r w:rsidR="00C315E5" w:rsidRPr="00437808">
        <w:rPr>
          <w:rFonts w:ascii="Calibri" w:hAnsi="Calibri" w:cs="Arial"/>
          <w:sz w:val="36"/>
          <w:szCs w:val="28"/>
          <w:lang w:val="en-GB"/>
        </w:rPr>
        <w:t>oard</w:t>
      </w:r>
    </w:p>
    <w:p w:rsidR="006E7F4D" w:rsidRPr="00437808" w:rsidRDefault="00696AB8" w:rsidP="000740FD">
      <w:pPr>
        <w:pBdr>
          <w:top w:val="single" w:sz="12" w:space="6" w:color="auto"/>
          <w:bottom w:val="single" w:sz="12" w:space="6" w:color="auto"/>
        </w:pBdr>
        <w:tabs>
          <w:tab w:val="center" w:pos="4513"/>
        </w:tabs>
        <w:spacing w:before="120" w:after="120" w:line="240" w:lineRule="auto"/>
        <w:rPr>
          <w:rFonts w:cs="Arial"/>
          <w:b/>
          <w:sz w:val="36"/>
          <w:lang w:val="en-GB" w:eastAsia="en-GB"/>
        </w:rPr>
      </w:pPr>
      <w:r w:rsidRPr="00437808">
        <w:rPr>
          <w:b/>
          <w:sz w:val="36"/>
          <w:lang w:val="en-GB"/>
        </w:rPr>
        <w:t xml:space="preserve">Final </w:t>
      </w:r>
      <w:r w:rsidR="006E7F4D" w:rsidRPr="00437808">
        <w:rPr>
          <w:b/>
          <w:sz w:val="36"/>
          <w:lang w:val="en-GB"/>
        </w:rPr>
        <w:t>Report</w:t>
      </w:r>
    </w:p>
    <w:p w:rsidR="00696AB8" w:rsidRPr="00437808" w:rsidRDefault="00696AB8" w:rsidP="000740FD">
      <w:pPr>
        <w:spacing w:after="0" w:line="240" w:lineRule="auto"/>
        <w:rPr>
          <w:lang w:val="en-GB"/>
        </w:rPr>
      </w:pPr>
    </w:p>
    <w:p w:rsidR="00625CB0" w:rsidRPr="00437808" w:rsidRDefault="00696AB8" w:rsidP="001F3C95">
      <w:pPr>
        <w:spacing w:after="120" w:line="240" w:lineRule="auto"/>
        <w:rPr>
          <w:lang w:val="en-GB"/>
        </w:rPr>
      </w:pPr>
      <w:r w:rsidRPr="00437808">
        <w:rPr>
          <w:lang w:val="en-GB"/>
        </w:rPr>
        <w:t>The PMB was asked to “Recommend an action plan necessary to complete the change initiated by Senate/Council (2004) to a larger cost centre (School) operation of the University”.</w:t>
      </w:r>
    </w:p>
    <w:p w:rsidR="001F3C95" w:rsidRPr="00437808" w:rsidRDefault="00625CB0" w:rsidP="001F3C95">
      <w:pPr>
        <w:spacing w:after="120" w:line="240" w:lineRule="auto"/>
        <w:rPr>
          <w:lang w:val="en-GB"/>
        </w:rPr>
      </w:pPr>
      <w:r w:rsidRPr="00437808">
        <w:rPr>
          <w:lang w:val="en-GB"/>
        </w:rPr>
        <w:t>The terms of reference for the PMB are reproduced in Annex A. The history of the University’s move to larger cost-centre operation is</w:t>
      </w:r>
      <w:r w:rsidR="001F3C95" w:rsidRPr="00437808">
        <w:rPr>
          <w:lang w:val="en-GB"/>
        </w:rPr>
        <w:t xml:space="preserve"> summarised briefly in Annex B.</w:t>
      </w:r>
    </w:p>
    <w:p w:rsidR="00696AB8" w:rsidRPr="00437808" w:rsidRDefault="001F3C95" w:rsidP="001F3C95">
      <w:pPr>
        <w:spacing w:after="120" w:line="240" w:lineRule="auto"/>
        <w:rPr>
          <w:lang w:val="en-GB"/>
        </w:rPr>
      </w:pPr>
      <w:r w:rsidRPr="00437808">
        <w:rPr>
          <w:lang w:val="en-GB"/>
        </w:rPr>
        <w:t>As requested by Senate, we have undertaken an extensive consultation process prior to preparing this report.</w:t>
      </w:r>
      <w:r w:rsidR="00020AB3" w:rsidRPr="00437808">
        <w:rPr>
          <w:lang w:val="en-GB"/>
        </w:rPr>
        <w:t xml:space="preserve"> Any names that we have used to identify new groups or posts are provisional.</w:t>
      </w:r>
    </w:p>
    <w:p w:rsidR="00696AB8" w:rsidRPr="00437808" w:rsidRDefault="002E7A6D" w:rsidP="000740FD">
      <w:pPr>
        <w:spacing w:after="120" w:line="240" w:lineRule="auto"/>
        <w:rPr>
          <w:b/>
          <w:sz w:val="28"/>
          <w:lang w:val="en-GB"/>
        </w:rPr>
      </w:pPr>
      <w:r w:rsidRPr="00437808">
        <w:rPr>
          <w:b/>
          <w:sz w:val="28"/>
          <w:lang w:val="en-GB"/>
        </w:rPr>
        <w:t>Princip</w:t>
      </w:r>
      <w:r w:rsidR="00577133" w:rsidRPr="00437808">
        <w:rPr>
          <w:b/>
          <w:sz w:val="28"/>
          <w:lang w:val="en-GB"/>
        </w:rPr>
        <w:t>al</w:t>
      </w:r>
      <w:r w:rsidRPr="00437808">
        <w:rPr>
          <w:b/>
          <w:sz w:val="28"/>
          <w:lang w:val="en-GB"/>
        </w:rPr>
        <w:t xml:space="preserve"> </w:t>
      </w:r>
      <w:r w:rsidR="00C3101B" w:rsidRPr="00437808">
        <w:rPr>
          <w:b/>
          <w:sz w:val="28"/>
          <w:lang w:val="en-GB"/>
        </w:rPr>
        <w:t>R</w:t>
      </w:r>
      <w:r w:rsidR="00696AB8" w:rsidRPr="00437808">
        <w:rPr>
          <w:b/>
          <w:sz w:val="28"/>
          <w:lang w:val="en-GB"/>
        </w:rPr>
        <w:t>ecommendations</w:t>
      </w:r>
    </w:p>
    <w:p w:rsidR="002E7A6D" w:rsidRPr="00437808" w:rsidRDefault="00AB526C" w:rsidP="007C73B3">
      <w:pPr>
        <w:pStyle w:val="ListParagraph"/>
        <w:numPr>
          <w:ilvl w:val="0"/>
          <w:numId w:val="21"/>
        </w:numPr>
        <w:spacing w:after="120" w:line="240" w:lineRule="auto"/>
        <w:rPr>
          <w:lang w:val="en-GB"/>
        </w:rPr>
      </w:pPr>
      <w:r w:rsidRPr="00437808">
        <w:rPr>
          <w:lang w:val="en-GB"/>
        </w:rPr>
        <w:t>The University should re</w:t>
      </w:r>
      <w:r w:rsidR="00696AB8" w:rsidRPr="00437808">
        <w:rPr>
          <w:lang w:val="en-GB"/>
        </w:rPr>
        <w:t>structure its academic management around ten cost centres</w:t>
      </w:r>
      <w:r w:rsidR="00B43427" w:rsidRPr="00437808">
        <w:rPr>
          <w:lang w:val="en-GB"/>
        </w:rPr>
        <w:t xml:space="preserve">. </w:t>
      </w:r>
      <w:r w:rsidR="00B43427" w:rsidRPr="00437808">
        <w:rPr>
          <w:rFonts w:asciiTheme="minorHAnsi" w:hAnsiTheme="minorHAnsi"/>
        </w:rPr>
        <w:t>The detailed structure is shown</w:t>
      </w:r>
      <w:r w:rsidR="00547FEB" w:rsidRPr="00437808">
        <w:rPr>
          <w:rFonts w:asciiTheme="minorHAnsi" w:hAnsiTheme="minorHAnsi"/>
        </w:rPr>
        <w:t xml:space="preserve"> in Annex </w:t>
      </w:r>
      <w:r w:rsidR="00625CB0" w:rsidRPr="00437808">
        <w:rPr>
          <w:rFonts w:asciiTheme="minorHAnsi" w:hAnsiTheme="minorHAnsi"/>
        </w:rPr>
        <w:t>C</w:t>
      </w:r>
      <w:r w:rsidR="00547FEB" w:rsidRPr="00437808">
        <w:rPr>
          <w:rFonts w:asciiTheme="minorHAnsi" w:hAnsiTheme="minorHAnsi"/>
        </w:rPr>
        <w:t>.</w:t>
      </w:r>
      <w:r w:rsidR="006F4771" w:rsidRPr="00437808">
        <w:rPr>
          <w:rFonts w:asciiTheme="minorHAnsi" w:hAnsiTheme="minorHAnsi"/>
        </w:rPr>
        <w:t xml:space="preserve"> </w:t>
      </w:r>
      <w:r w:rsidR="00577133" w:rsidRPr="00437808">
        <w:rPr>
          <w:lang w:val="en-GB"/>
        </w:rPr>
        <w:t xml:space="preserve">Each School should be managed by </w:t>
      </w:r>
      <w:r w:rsidR="00436F44" w:rsidRPr="00437808">
        <w:rPr>
          <w:lang w:val="en-GB"/>
        </w:rPr>
        <w:t>a Senior Management Group (SMG)</w:t>
      </w:r>
      <w:r w:rsidR="00577133" w:rsidRPr="00437808">
        <w:rPr>
          <w:lang w:val="en-GB"/>
        </w:rPr>
        <w:t xml:space="preserve"> chaired by a Dean of School.</w:t>
      </w:r>
      <w:r w:rsidR="006F4771" w:rsidRPr="00437808">
        <w:rPr>
          <w:lang w:val="en-GB"/>
        </w:rPr>
        <w:t xml:space="preserve"> </w:t>
      </w:r>
      <w:r w:rsidR="006F4771" w:rsidRPr="00437808">
        <w:rPr>
          <w:rFonts w:asciiTheme="minorHAnsi" w:hAnsiTheme="minorHAnsi"/>
        </w:rPr>
        <w:t>All departments that currently exist will continue to do so</w:t>
      </w:r>
      <w:r w:rsidR="00436F44" w:rsidRPr="00437808">
        <w:rPr>
          <w:rFonts w:asciiTheme="minorHAnsi" w:hAnsiTheme="minorHAnsi"/>
        </w:rPr>
        <w:t>, unless Schools wish to change this</w:t>
      </w:r>
      <w:r w:rsidR="00B720F6" w:rsidRPr="00437808">
        <w:rPr>
          <w:rFonts w:asciiTheme="minorHAnsi" w:hAnsiTheme="minorHAnsi"/>
        </w:rPr>
        <w:t>.</w:t>
      </w:r>
    </w:p>
    <w:p w:rsidR="002E7A6D" w:rsidRPr="00437808" w:rsidRDefault="002E7A6D" w:rsidP="007C73B3">
      <w:pPr>
        <w:pStyle w:val="ListParagraph"/>
        <w:numPr>
          <w:ilvl w:val="0"/>
          <w:numId w:val="21"/>
        </w:numPr>
        <w:spacing w:after="120" w:line="240" w:lineRule="auto"/>
        <w:rPr>
          <w:lang w:val="en-GB"/>
        </w:rPr>
      </w:pPr>
      <w:r w:rsidRPr="00437808">
        <w:rPr>
          <w:lang w:val="en-GB"/>
        </w:rPr>
        <w:t xml:space="preserve">Faculties should be </w:t>
      </w:r>
      <w:r w:rsidR="00577133" w:rsidRPr="00437808">
        <w:rPr>
          <w:lang w:val="en-GB"/>
        </w:rPr>
        <w:t>removed</w:t>
      </w:r>
      <w:r w:rsidRPr="00437808">
        <w:rPr>
          <w:lang w:val="en-GB"/>
        </w:rPr>
        <w:t xml:space="preserve">. There should be no barrier to </w:t>
      </w:r>
      <w:r w:rsidR="00BB1800" w:rsidRPr="00437808">
        <w:rPr>
          <w:lang w:val="en-GB"/>
        </w:rPr>
        <w:t>S</w:t>
      </w:r>
      <w:r w:rsidRPr="00437808">
        <w:rPr>
          <w:lang w:val="en-GB"/>
        </w:rPr>
        <w:t>chools pooling resources</w:t>
      </w:r>
      <w:r w:rsidR="00BB1800" w:rsidRPr="00437808">
        <w:rPr>
          <w:lang w:val="en-GB"/>
        </w:rPr>
        <w:t>; for example</w:t>
      </w:r>
      <w:r w:rsidRPr="00437808">
        <w:rPr>
          <w:lang w:val="en-GB"/>
        </w:rPr>
        <w:t xml:space="preserve">, the four </w:t>
      </w:r>
      <w:r w:rsidR="00BB1800" w:rsidRPr="00437808">
        <w:rPr>
          <w:lang w:val="en-GB"/>
        </w:rPr>
        <w:t>E</w:t>
      </w:r>
      <w:r w:rsidRPr="00437808">
        <w:rPr>
          <w:lang w:val="en-GB"/>
        </w:rPr>
        <w:t xml:space="preserve">ngineering </w:t>
      </w:r>
      <w:r w:rsidR="00BB1800" w:rsidRPr="00437808">
        <w:rPr>
          <w:lang w:val="en-GB"/>
        </w:rPr>
        <w:t>S</w:t>
      </w:r>
      <w:r w:rsidRPr="00437808">
        <w:rPr>
          <w:lang w:val="en-GB"/>
        </w:rPr>
        <w:t>chools should be able to continue to operate a combined support structure</w:t>
      </w:r>
      <w:r w:rsidR="009724C1" w:rsidRPr="00437808">
        <w:rPr>
          <w:lang w:val="en-GB"/>
        </w:rPr>
        <w:t xml:space="preserve"> should they wish to</w:t>
      </w:r>
      <w:r w:rsidR="00B720F6" w:rsidRPr="00437808">
        <w:rPr>
          <w:lang w:val="en-GB"/>
        </w:rPr>
        <w:t>.</w:t>
      </w:r>
    </w:p>
    <w:p w:rsidR="00577133" w:rsidRPr="00437808" w:rsidRDefault="002E7A6D" w:rsidP="007C73B3">
      <w:pPr>
        <w:pStyle w:val="ListParagraph"/>
        <w:numPr>
          <w:ilvl w:val="0"/>
          <w:numId w:val="21"/>
        </w:numPr>
        <w:spacing w:after="120" w:line="240" w:lineRule="auto"/>
        <w:rPr>
          <w:lang w:val="en-GB"/>
        </w:rPr>
      </w:pPr>
      <w:r w:rsidRPr="00437808">
        <w:rPr>
          <w:lang w:val="en-GB"/>
        </w:rPr>
        <w:t xml:space="preserve">A new </w:t>
      </w:r>
      <w:r w:rsidR="00436F44" w:rsidRPr="00437808">
        <w:rPr>
          <w:lang w:val="en-GB"/>
        </w:rPr>
        <w:t>group</w:t>
      </w:r>
      <w:r w:rsidRPr="00437808">
        <w:rPr>
          <w:lang w:val="en-GB"/>
        </w:rPr>
        <w:t xml:space="preserve">, the Academic Leadership </w:t>
      </w:r>
      <w:r w:rsidR="00436F44" w:rsidRPr="00437808">
        <w:rPr>
          <w:lang w:val="en-GB"/>
        </w:rPr>
        <w:t>Team</w:t>
      </w:r>
      <w:r w:rsidRPr="00437808">
        <w:rPr>
          <w:lang w:val="en-GB"/>
        </w:rPr>
        <w:t xml:space="preserve"> (AL</w:t>
      </w:r>
      <w:r w:rsidR="00436F44" w:rsidRPr="00437808">
        <w:rPr>
          <w:lang w:val="en-GB"/>
        </w:rPr>
        <w:t>T</w:t>
      </w:r>
      <w:r w:rsidRPr="00437808">
        <w:rPr>
          <w:lang w:val="en-GB"/>
        </w:rPr>
        <w:t>), should be created. All Deans of School would be members of th</w:t>
      </w:r>
      <w:r w:rsidR="00577133" w:rsidRPr="00437808">
        <w:rPr>
          <w:lang w:val="en-GB"/>
        </w:rPr>
        <w:t>is</w:t>
      </w:r>
      <w:r w:rsidR="00343DF8" w:rsidRPr="00437808">
        <w:rPr>
          <w:lang w:val="en-GB"/>
        </w:rPr>
        <w:t xml:space="preserve"> </w:t>
      </w:r>
      <w:r w:rsidR="00436F44" w:rsidRPr="00437808">
        <w:rPr>
          <w:lang w:val="en-GB"/>
        </w:rPr>
        <w:t>group</w:t>
      </w:r>
      <w:r w:rsidR="00932544" w:rsidRPr="00437808">
        <w:rPr>
          <w:lang w:val="en-GB"/>
        </w:rPr>
        <w:t>, the full membership of which would be determined by the VC, who would chair the committee</w:t>
      </w:r>
      <w:r w:rsidRPr="00437808">
        <w:rPr>
          <w:lang w:val="en-GB"/>
        </w:rPr>
        <w:t xml:space="preserve">. The </w:t>
      </w:r>
      <w:r w:rsidR="00436F44" w:rsidRPr="00437808">
        <w:rPr>
          <w:lang w:val="en-GB"/>
        </w:rPr>
        <w:t>ALT</w:t>
      </w:r>
      <w:r w:rsidRPr="00437808">
        <w:rPr>
          <w:lang w:val="en-GB"/>
        </w:rPr>
        <w:t xml:space="preserve"> would replace the three Directorates and </w:t>
      </w:r>
      <w:r w:rsidR="00932544" w:rsidRPr="00437808">
        <w:rPr>
          <w:lang w:val="en-GB"/>
        </w:rPr>
        <w:t>ELT.</w:t>
      </w:r>
    </w:p>
    <w:p w:rsidR="00095586" w:rsidRPr="00437808" w:rsidRDefault="00577133" w:rsidP="007C73B3">
      <w:pPr>
        <w:pStyle w:val="ListParagraph"/>
        <w:numPr>
          <w:ilvl w:val="0"/>
          <w:numId w:val="21"/>
        </w:numPr>
        <w:spacing w:after="120" w:line="240" w:lineRule="auto"/>
        <w:rPr>
          <w:lang w:val="en-GB"/>
        </w:rPr>
      </w:pPr>
      <w:r w:rsidRPr="00437808">
        <w:rPr>
          <w:lang w:val="en-GB"/>
        </w:rPr>
        <w:t>The new Schools should formally begin operation on 1 August 201</w:t>
      </w:r>
      <w:r w:rsidR="00D21E64" w:rsidRPr="00437808">
        <w:rPr>
          <w:lang w:val="en-GB"/>
        </w:rPr>
        <w:t>1</w:t>
      </w:r>
      <w:r w:rsidRPr="00437808">
        <w:rPr>
          <w:lang w:val="en-GB"/>
        </w:rPr>
        <w:t xml:space="preserve">. The process of identifying Deans of Schools should begin immediately following Council in July and ideally all the Deans should be “in post” </w:t>
      </w:r>
      <w:r w:rsidR="00436F44" w:rsidRPr="00437808">
        <w:rPr>
          <w:lang w:val="en-GB"/>
        </w:rPr>
        <w:t>no later than</w:t>
      </w:r>
      <w:r w:rsidRPr="00437808">
        <w:rPr>
          <w:lang w:val="en-GB"/>
        </w:rPr>
        <w:t xml:space="preserve"> 1 February 2011</w:t>
      </w:r>
      <w:r w:rsidR="00436F44" w:rsidRPr="00437808">
        <w:rPr>
          <w:lang w:val="en-GB"/>
        </w:rPr>
        <w:t xml:space="preserve"> and </w:t>
      </w:r>
      <w:r w:rsidR="00EB4D51" w:rsidRPr="00437808">
        <w:rPr>
          <w:lang w:val="en-GB"/>
        </w:rPr>
        <w:t>preferably earlier</w:t>
      </w:r>
      <w:r w:rsidRPr="00437808">
        <w:rPr>
          <w:lang w:val="en-GB"/>
        </w:rPr>
        <w:t xml:space="preserve">. The current Faculty Deans should take a leading role in managing the transition to the new School structure. A </w:t>
      </w:r>
      <w:r w:rsidR="00395154" w:rsidRPr="00437808">
        <w:rPr>
          <w:lang w:val="en-GB"/>
        </w:rPr>
        <w:t>PMB</w:t>
      </w:r>
      <w:r w:rsidRPr="00437808">
        <w:rPr>
          <w:lang w:val="en-GB"/>
        </w:rPr>
        <w:t xml:space="preserve"> should be created to oversee and monitor the whole change process, chaired by the VC</w:t>
      </w:r>
      <w:r w:rsidR="00343DF8" w:rsidRPr="00437808">
        <w:rPr>
          <w:lang w:val="en-GB"/>
        </w:rPr>
        <w:t xml:space="preserve"> or DVC</w:t>
      </w:r>
      <w:r w:rsidRPr="00437808">
        <w:rPr>
          <w:lang w:val="en-GB"/>
        </w:rPr>
        <w:t>.</w:t>
      </w:r>
    </w:p>
    <w:p w:rsidR="00577133" w:rsidRPr="00437808" w:rsidRDefault="00095586" w:rsidP="00095586">
      <w:pPr>
        <w:spacing w:after="120" w:line="240" w:lineRule="auto"/>
        <w:rPr>
          <w:lang w:val="en-GB"/>
        </w:rPr>
      </w:pPr>
      <w:r w:rsidRPr="00437808">
        <w:rPr>
          <w:lang w:val="en-GB"/>
        </w:rPr>
        <w:t xml:space="preserve">The successful implementation of these recommendations will require a number of other significant changes. Further recommendations relating to this are listed below. We recognise that these may be subject to </w:t>
      </w:r>
      <w:r w:rsidR="00EB4D51" w:rsidRPr="00437808">
        <w:rPr>
          <w:lang w:val="en-GB"/>
        </w:rPr>
        <w:t>alteration</w:t>
      </w:r>
      <w:r w:rsidRPr="00437808">
        <w:rPr>
          <w:lang w:val="en-GB"/>
        </w:rPr>
        <w:t xml:space="preserve">, under the guidance of the </w:t>
      </w:r>
      <w:r w:rsidR="0025119F" w:rsidRPr="00437808">
        <w:rPr>
          <w:lang w:val="en-GB"/>
        </w:rPr>
        <w:t>implementation PMB</w:t>
      </w:r>
      <w:r w:rsidRPr="00437808">
        <w:rPr>
          <w:lang w:val="en-GB"/>
        </w:rPr>
        <w:t>, as the details are worked out.</w:t>
      </w:r>
      <w:r w:rsidR="005908E4" w:rsidRPr="00437808">
        <w:rPr>
          <w:lang w:val="en-GB"/>
        </w:rPr>
        <w:t xml:space="preserve"> There may also need to be some special transitional arrangements.</w:t>
      </w:r>
    </w:p>
    <w:p w:rsidR="002D1E96" w:rsidRPr="00437808" w:rsidRDefault="00577133" w:rsidP="000740FD">
      <w:pPr>
        <w:spacing w:after="120" w:line="240" w:lineRule="auto"/>
        <w:rPr>
          <w:b/>
          <w:sz w:val="28"/>
          <w:lang w:val="en-GB"/>
        </w:rPr>
      </w:pPr>
      <w:r w:rsidRPr="00437808">
        <w:rPr>
          <w:b/>
          <w:sz w:val="28"/>
          <w:lang w:val="en-GB"/>
        </w:rPr>
        <w:t>Further Recommendations</w:t>
      </w:r>
    </w:p>
    <w:p w:rsidR="00095586" w:rsidRPr="00437808" w:rsidRDefault="005C4A2F" w:rsidP="007C73B3">
      <w:pPr>
        <w:pStyle w:val="ListParagraph"/>
        <w:numPr>
          <w:ilvl w:val="0"/>
          <w:numId w:val="23"/>
        </w:numPr>
        <w:spacing w:after="120" w:line="240" w:lineRule="auto"/>
        <w:rPr>
          <w:lang w:val="en-GB"/>
        </w:rPr>
      </w:pPr>
      <w:r w:rsidRPr="00437808">
        <w:rPr>
          <w:lang w:val="en-GB"/>
        </w:rPr>
        <w:t xml:space="preserve">As well as Deans of Faculties, the current </w:t>
      </w:r>
      <w:r w:rsidR="0093172A" w:rsidRPr="00437808">
        <w:rPr>
          <w:lang w:val="en-GB"/>
        </w:rPr>
        <w:t xml:space="preserve">Faculty </w:t>
      </w:r>
      <w:r w:rsidRPr="00437808">
        <w:rPr>
          <w:lang w:val="en-GB"/>
        </w:rPr>
        <w:t>posts of Associate Dean (Teaching) and Associate Dean (Research) should be abolished</w:t>
      </w:r>
      <w:r w:rsidR="0025119F" w:rsidRPr="00437808">
        <w:rPr>
          <w:lang w:val="en-GB"/>
        </w:rPr>
        <w:t>, though their role will continue; see recommendations 4 and 5 below, and Annex D.</w:t>
      </w:r>
    </w:p>
    <w:p w:rsidR="005C4A2F" w:rsidRPr="00437808" w:rsidRDefault="00095586" w:rsidP="007C73B3">
      <w:pPr>
        <w:pStyle w:val="ListParagraph"/>
        <w:numPr>
          <w:ilvl w:val="0"/>
          <w:numId w:val="23"/>
        </w:numPr>
        <w:spacing w:after="120" w:line="240" w:lineRule="auto"/>
        <w:rPr>
          <w:lang w:val="en-GB"/>
        </w:rPr>
      </w:pPr>
      <w:r w:rsidRPr="00437808">
        <w:rPr>
          <w:lang w:val="en-GB"/>
        </w:rPr>
        <w:lastRenderedPageBreak/>
        <w:t xml:space="preserve">Deans of School should serve on Operations Committee for one year at a time, in rotation, with </w:t>
      </w:r>
      <w:r w:rsidR="00A723BA" w:rsidRPr="00437808">
        <w:rPr>
          <w:lang w:val="en-GB"/>
        </w:rPr>
        <w:t xml:space="preserve">two or </w:t>
      </w:r>
      <w:r w:rsidRPr="00437808">
        <w:rPr>
          <w:lang w:val="en-GB"/>
        </w:rPr>
        <w:t>three o</w:t>
      </w:r>
      <w:r w:rsidR="00CF4491" w:rsidRPr="00437808">
        <w:rPr>
          <w:lang w:val="en-GB"/>
        </w:rPr>
        <w:t>n the committee at any one time</w:t>
      </w:r>
      <w:r w:rsidR="00B720F6" w:rsidRPr="00437808">
        <w:rPr>
          <w:lang w:val="en-GB"/>
        </w:rPr>
        <w:t>.</w:t>
      </w:r>
    </w:p>
    <w:p w:rsidR="00547FEB" w:rsidRPr="00437808" w:rsidRDefault="00547FEB" w:rsidP="007C73B3">
      <w:pPr>
        <w:pStyle w:val="ListParagraph"/>
        <w:numPr>
          <w:ilvl w:val="0"/>
          <w:numId w:val="23"/>
        </w:numPr>
        <w:spacing w:after="120" w:line="240" w:lineRule="auto"/>
        <w:rPr>
          <w:lang w:val="en-GB"/>
        </w:rPr>
      </w:pPr>
      <w:r w:rsidRPr="00437808">
        <w:rPr>
          <w:lang w:val="en-GB"/>
        </w:rPr>
        <w:t xml:space="preserve">Some Schools </w:t>
      </w:r>
      <w:r w:rsidR="00436F44" w:rsidRPr="00437808">
        <w:rPr>
          <w:lang w:val="en-GB"/>
        </w:rPr>
        <w:t>may opt to</w:t>
      </w:r>
      <w:r w:rsidRPr="00437808">
        <w:rPr>
          <w:lang w:val="en-GB"/>
        </w:rPr>
        <w:t xml:space="preserve"> contain </w:t>
      </w:r>
      <w:r w:rsidR="00CB3602" w:rsidRPr="00437808">
        <w:rPr>
          <w:lang w:val="en-GB"/>
        </w:rPr>
        <w:t>distinct</w:t>
      </w:r>
      <w:r w:rsidRPr="00437808">
        <w:rPr>
          <w:lang w:val="en-GB"/>
        </w:rPr>
        <w:t xml:space="preserve"> academic departments, with their own Heads of </w:t>
      </w:r>
      <w:r w:rsidR="00436F44" w:rsidRPr="00437808">
        <w:rPr>
          <w:lang w:val="en-GB"/>
        </w:rPr>
        <w:t>Department</w:t>
      </w:r>
      <w:r w:rsidRPr="00437808">
        <w:rPr>
          <w:lang w:val="en-GB"/>
        </w:rPr>
        <w:t xml:space="preserve"> each of whom would be on the SMG.</w:t>
      </w:r>
      <w:r w:rsidR="002E7A6D" w:rsidRPr="00437808">
        <w:rPr>
          <w:lang w:val="en-GB"/>
        </w:rPr>
        <w:t xml:space="preserve"> However, the departments should not be managed </w:t>
      </w:r>
      <w:r w:rsidR="00E64832" w:rsidRPr="00437808">
        <w:rPr>
          <w:lang w:val="en-GB"/>
        </w:rPr>
        <w:t>independently</w:t>
      </w:r>
      <w:r w:rsidR="00B720F6" w:rsidRPr="00437808">
        <w:rPr>
          <w:lang w:val="en-GB"/>
        </w:rPr>
        <w:t>.</w:t>
      </w:r>
      <w:r w:rsidR="00E57788" w:rsidRPr="00437808">
        <w:rPr>
          <w:lang w:val="en-GB"/>
        </w:rPr>
        <w:t xml:space="preserve"> It is anticipated that in other Schools there will be a number of Heads of Discipline.</w:t>
      </w:r>
    </w:p>
    <w:p w:rsidR="00321DE2" w:rsidRPr="00437808" w:rsidRDefault="002E5C22" w:rsidP="007C73B3">
      <w:pPr>
        <w:pStyle w:val="ListParagraph"/>
        <w:numPr>
          <w:ilvl w:val="0"/>
          <w:numId w:val="23"/>
        </w:numPr>
        <w:spacing w:after="120" w:line="240" w:lineRule="auto"/>
        <w:rPr>
          <w:lang w:val="en-GB"/>
        </w:rPr>
      </w:pPr>
      <w:r w:rsidRPr="00437808">
        <w:rPr>
          <w:lang w:val="en-GB"/>
        </w:rPr>
        <w:t xml:space="preserve">School SMGs should </w:t>
      </w:r>
      <w:r w:rsidR="00321DE2" w:rsidRPr="00437808">
        <w:rPr>
          <w:lang w:val="en-GB"/>
        </w:rPr>
        <w:t xml:space="preserve">contain </w:t>
      </w:r>
      <w:r w:rsidR="005C4A2F" w:rsidRPr="00437808">
        <w:rPr>
          <w:lang w:val="en-GB"/>
        </w:rPr>
        <w:t>an Associate Dean (Teaching)</w:t>
      </w:r>
      <w:r w:rsidR="00516CF4" w:rsidRPr="00437808">
        <w:rPr>
          <w:lang w:val="en-GB"/>
        </w:rPr>
        <w:t xml:space="preserve"> with overall responsibility for the delivery of Teaching within the School</w:t>
      </w:r>
      <w:r w:rsidR="00321DE2" w:rsidRPr="00437808">
        <w:rPr>
          <w:lang w:val="en-GB"/>
        </w:rPr>
        <w:t xml:space="preserve">. Regular meetings </w:t>
      </w:r>
      <w:r w:rsidR="00177A60" w:rsidRPr="00437808">
        <w:rPr>
          <w:lang w:val="en-GB"/>
        </w:rPr>
        <w:t>including</w:t>
      </w:r>
      <w:r w:rsidR="00321DE2" w:rsidRPr="00437808">
        <w:rPr>
          <w:lang w:val="en-GB"/>
        </w:rPr>
        <w:t xml:space="preserve"> the ten </w:t>
      </w:r>
      <w:r w:rsidR="005C4A2F" w:rsidRPr="00437808">
        <w:rPr>
          <w:lang w:val="en-GB"/>
        </w:rPr>
        <w:t>ADTs</w:t>
      </w:r>
      <w:r w:rsidR="00436F44" w:rsidRPr="00437808">
        <w:rPr>
          <w:lang w:val="en-GB"/>
        </w:rPr>
        <w:t xml:space="preserve">, </w:t>
      </w:r>
      <w:r w:rsidR="00321DE2" w:rsidRPr="00437808">
        <w:rPr>
          <w:lang w:val="en-GB"/>
        </w:rPr>
        <w:t>chaired by the PVCT, would constitute the University’s Learning &amp; Teaching Committee</w:t>
      </w:r>
      <w:r w:rsidR="00B720F6" w:rsidRPr="00437808">
        <w:rPr>
          <w:lang w:val="en-GB"/>
        </w:rPr>
        <w:t>.</w:t>
      </w:r>
    </w:p>
    <w:p w:rsidR="000C64AD" w:rsidRPr="00437808" w:rsidRDefault="00321DE2" w:rsidP="007C73B3">
      <w:pPr>
        <w:pStyle w:val="ListParagraph"/>
        <w:numPr>
          <w:ilvl w:val="0"/>
          <w:numId w:val="23"/>
        </w:numPr>
        <w:spacing w:after="120" w:line="240" w:lineRule="auto"/>
        <w:rPr>
          <w:lang w:val="en-GB"/>
        </w:rPr>
      </w:pPr>
      <w:r w:rsidRPr="00437808">
        <w:rPr>
          <w:lang w:val="en-GB"/>
        </w:rPr>
        <w:t xml:space="preserve">School SMGs should contain </w:t>
      </w:r>
      <w:r w:rsidR="005C4A2F" w:rsidRPr="00437808">
        <w:rPr>
          <w:lang w:val="en-GB"/>
        </w:rPr>
        <w:t>an Associate Dean</w:t>
      </w:r>
      <w:r w:rsidRPr="00437808">
        <w:rPr>
          <w:lang w:val="en-GB"/>
        </w:rPr>
        <w:t xml:space="preserve"> </w:t>
      </w:r>
      <w:r w:rsidR="005C4A2F" w:rsidRPr="00437808">
        <w:rPr>
          <w:lang w:val="en-GB"/>
        </w:rPr>
        <w:t>(</w:t>
      </w:r>
      <w:r w:rsidRPr="00437808">
        <w:rPr>
          <w:lang w:val="en-GB"/>
        </w:rPr>
        <w:t>Research</w:t>
      </w:r>
      <w:r w:rsidR="005C4A2F" w:rsidRPr="00437808">
        <w:rPr>
          <w:lang w:val="en-GB"/>
        </w:rPr>
        <w:t>) and an Associate Dean (Enterprise)</w:t>
      </w:r>
      <w:r w:rsidR="00516CF4" w:rsidRPr="00437808">
        <w:rPr>
          <w:lang w:val="en-GB"/>
        </w:rPr>
        <w:t xml:space="preserve"> with overall responsibility for Research and Enterprise activities, respectively</w:t>
      </w:r>
      <w:r w:rsidRPr="00437808">
        <w:rPr>
          <w:lang w:val="en-GB"/>
        </w:rPr>
        <w:t>.</w:t>
      </w:r>
      <w:r w:rsidR="005C4A2F" w:rsidRPr="00437808">
        <w:rPr>
          <w:lang w:val="en-GB"/>
        </w:rPr>
        <w:t xml:space="preserve"> It is anticipated that in some Schools this would be a combined role. </w:t>
      </w:r>
      <w:r w:rsidRPr="00437808">
        <w:rPr>
          <w:lang w:val="en-GB"/>
        </w:rPr>
        <w:t xml:space="preserve">Regular meetings </w:t>
      </w:r>
      <w:r w:rsidR="00177A60" w:rsidRPr="00437808">
        <w:rPr>
          <w:lang w:val="en-GB"/>
        </w:rPr>
        <w:t>including</w:t>
      </w:r>
      <w:r w:rsidRPr="00437808">
        <w:rPr>
          <w:lang w:val="en-GB"/>
        </w:rPr>
        <w:t xml:space="preserve"> the ten </w:t>
      </w:r>
      <w:r w:rsidR="005C4A2F" w:rsidRPr="00437808">
        <w:rPr>
          <w:lang w:val="en-GB"/>
        </w:rPr>
        <w:t>ADRs</w:t>
      </w:r>
      <w:r w:rsidR="00436F44" w:rsidRPr="00437808">
        <w:rPr>
          <w:lang w:val="en-GB"/>
        </w:rPr>
        <w:t xml:space="preserve">, </w:t>
      </w:r>
      <w:r w:rsidRPr="00437808">
        <w:rPr>
          <w:lang w:val="en-GB"/>
        </w:rPr>
        <w:t>chaired by the PVCR, would constitute the University’s Research Committee</w:t>
      </w:r>
      <w:r w:rsidR="00B720F6" w:rsidRPr="00437808">
        <w:rPr>
          <w:lang w:val="en-GB"/>
        </w:rPr>
        <w:t>.</w:t>
      </w:r>
      <w:r w:rsidR="000F261C" w:rsidRPr="00437808">
        <w:rPr>
          <w:lang w:val="en-GB"/>
        </w:rPr>
        <w:t xml:space="preserve"> </w:t>
      </w:r>
      <w:r w:rsidR="00436F44" w:rsidRPr="00437808">
        <w:rPr>
          <w:lang w:val="en-GB"/>
        </w:rPr>
        <w:t>The ten ADEs will work closely with the PVCE to deliver the Univers</w:t>
      </w:r>
      <w:r w:rsidR="00EB4D51" w:rsidRPr="00437808">
        <w:rPr>
          <w:lang w:val="en-GB"/>
        </w:rPr>
        <w:t>i</w:t>
      </w:r>
      <w:r w:rsidR="00436F44" w:rsidRPr="00437808">
        <w:rPr>
          <w:lang w:val="en-GB"/>
        </w:rPr>
        <w:t>ty’s enterprise agenda.</w:t>
      </w:r>
    </w:p>
    <w:p w:rsidR="00F418C3" w:rsidRPr="00437808" w:rsidRDefault="00533F1A" w:rsidP="007C73B3">
      <w:pPr>
        <w:pStyle w:val="ListParagraph"/>
        <w:numPr>
          <w:ilvl w:val="0"/>
          <w:numId w:val="23"/>
        </w:numPr>
        <w:spacing w:after="120" w:line="240" w:lineRule="auto"/>
        <w:rPr>
          <w:lang w:val="en-GB"/>
        </w:rPr>
      </w:pPr>
      <w:r w:rsidRPr="00437808">
        <w:rPr>
          <w:lang w:val="en-GB"/>
        </w:rPr>
        <w:t xml:space="preserve">School SMGs should contain a School Manager who would be responsible for running the administration of the School. Some Schools will also require a Senior Technical Officer to manage technical staff. </w:t>
      </w:r>
      <w:r w:rsidRPr="00437808">
        <w:t>The School Manager should be the key contact between Schools and Central Services and should be responsible for ensuring that there is minimal duplication of effort between School-based and centrally based systems</w:t>
      </w:r>
      <w:r w:rsidR="00B720F6" w:rsidRPr="00437808">
        <w:t>.</w:t>
      </w:r>
      <w:r w:rsidR="003F2B9D" w:rsidRPr="00437808">
        <w:t xml:space="preserve"> There should be regular meetings of all School Managers, chaired by the Chief Operating Officer.</w:t>
      </w:r>
    </w:p>
    <w:p w:rsidR="00F418C3" w:rsidRPr="00437808" w:rsidRDefault="00F418C3" w:rsidP="007C73B3">
      <w:pPr>
        <w:pStyle w:val="ListParagraph"/>
        <w:numPr>
          <w:ilvl w:val="0"/>
          <w:numId w:val="23"/>
        </w:numPr>
        <w:spacing w:after="120" w:line="240" w:lineRule="auto"/>
        <w:rPr>
          <w:lang w:val="en-GB"/>
        </w:rPr>
      </w:pPr>
      <w:r w:rsidRPr="00437808">
        <w:rPr>
          <w:lang w:val="en-GB"/>
        </w:rPr>
        <w:t xml:space="preserve">Each School should </w:t>
      </w:r>
      <w:r w:rsidR="00F26F53" w:rsidRPr="00437808">
        <w:rPr>
          <w:lang w:val="en-GB"/>
        </w:rPr>
        <w:t xml:space="preserve">nominate a member of its SMG to be </w:t>
      </w:r>
      <w:r w:rsidR="000F070A" w:rsidRPr="00437808">
        <w:rPr>
          <w:lang w:val="en-GB"/>
        </w:rPr>
        <w:t>deputy</w:t>
      </w:r>
      <w:r w:rsidRPr="00437808">
        <w:rPr>
          <w:lang w:val="en-GB"/>
        </w:rPr>
        <w:t xml:space="preserve"> Dean, empowered to act in the Dean’s absence</w:t>
      </w:r>
      <w:r w:rsidR="00B720F6" w:rsidRPr="00437808">
        <w:rPr>
          <w:lang w:val="en-GB"/>
        </w:rPr>
        <w:t>.</w:t>
      </w:r>
    </w:p>
    <w:p w:rsidR="00C439B8" w:rsidRPr="00437808" w:rsidRDefault="007543A5" w:rsidP="007C73B3">
      <w:pPr>
        <w:pStyle w:val="ListParagraph"/>
        <w:numPr>
          <w:ilvl w:val="0"/>
          <w:numId w:val="23"/>
        </w:numPr>
        <w:spacing w:after="120" w:line="240" w:lineRule="auto"/>
        <w:rPr>
          <w:lang w:val="en-GB"/>
        </w:rPr>
      </w:pPr>
      <w:r w:rsidRPr="00437808">
        <w:rPr>
          <w:lang w:val="en-GB"/>
        </w:rPr>
        <w:t>F</w:t>
      </w:r>
      <w:r w:rsidR="00F418C3" w:rsidRPr="00437808">
        <w:rPr>
          <w:lang w:val="en-GB"/>
        </w:rPr>
        <w:t xml:space="preserve">inancial authority </w:t>
      </w:r>
      <w:r w:rsidRPr="00437808">
        <w:rPr>
          <w:lang w:val="en-GB"/>
        </w:rPr>
        <w:t xml:space="preserve">should be </w:t>
      </w:r>
      <w:r w:rsidR="00F418C3" w:rsidRPr="00437808">
        <w:rPr>
          <w:lang w:val="en-GB"/>
        </w:rPr>
        <w:t>delegated to Schools through business plans.</w:t>
      </w:r>
      <w:r w:rsidRPr="00437808">
        <w:rPr>
          <w:lang w:val="en-GB"/>
        </w:rPr>
        <w:t xml:space="preserve"> T</w:t>
      </w:r>
      <w:r w:rsidR="00F418C3" w:rsidRPr="00437808">
        <w:rPr>
          <w:lang w:val="en-GB"/>
        </w:rPr>
        <w:t>here should be strong incentives for generating surpluses</w:t>
      </w:r>
      <w:r w:rsidR="0029576F" w:rsidRPr="00437808">
        <w:rPr>
          <w:lang w:val="en-GB"/>
        </w:rPr>
        <w:t xml:space="preserve"> at School level</w:t>
      </w:r>
      <w:r w:rsidR="00B720F6" w:rsidRPr="00437808">
        <w:rPr>
          <w:lang w:val="en-GB"/>
        </w:rPr>
        <w:t>.</w:t>
      </w:r>
    </w:p>
    <w:p w:rsidR="000F261C" w:rsidRPr="00437808" w:rsidRDefault="00C439B8" w:rsidP="007C73B3">
      <w:pPr>
        <w:pStyle w:val="ListParagraph"/>
        <w:numPr>
          <w:ilvl w:val="0"/>
          <w:numId w:val="23"/>
        </w:numPr>
        <w:spacing w:after="120" w:line="240" w:lineRule="auto"/>
        <w:rPr>
          <w:lang w:val="en-GB"/>
        </w:rPr>
      </w:pPr>
      <w:r w:rsidRPr="00437808">
        <w:rPr>
          <w:lang w:val="en-GB"/>
        </w:rPr>
        <w:t xml:space="preserve">The post of Dean of School should carry an honorarium. (The value of the honorarium should be the maximum honorarium currently paid to a Head of Department.) All Deans should receive the same honorarium. No other posts within Schools should have honoraria. Instead, the </w:t>
      </w:r>
      <w:r w:rsidR="000F261C" w:rsidRPr="00437808">
        <w:rPr>
          <w:lang w:val="en-GB"/>
        </w:rPr>
        <w:t xml:space="preserve">SMG </w:t>
      </w:r>
      <w:r w:rsidRPr="00437808">
        <w:rPr>
          <w:lang w:val="en-GB"/>
        </w:rPr>
        <w:t>post-holders should be rewarded through the Senior Staff Reward Review mechanism</w:t>
      </w:r>
      <w:r w:rsidR="00B720F6" w:rsidRPr="00437808">
        <w:rPr>
          <w:lang w:val="en-GB"/>
        </w:rPr>
        <w:t>.</w:t>
      </w:r>
    </w:p>
    <w:p w:rsidR="00F6411A" w:rsidRPr="00437808" w:rsidRDefault="000F261C" w:rsidP="007C73B3">
      <w:pPr>
        <w:pStyle w:val="ListParagraph"/>
        <w:numPr>
          <w:ilvl w:val="0"/>
          <w:numId w:val="23"/>
        </w:numPr>
        <w:spacing w:after="120" w:line="240" w:lineRule="auto"/>
        <w:rPr>
          <w:lang w:val="en-GB"/>
        </w:rPr>
      </w:pPr>
      <w:r w:rsidRPr="00437808">
        <w:rPr>
          <w:lang w:val="en-GB"/>
        </w:rPr>
        <w:t xml:space="preserve">Regular meetings of Deans, Associate Deans, School Managers, Heads of </w:t>
      </w:r>
      <w:r w:rsidR="00E57788" w:rsidRPr="00437808">
        <w:rPr>
          <w:lang w:val="en-GB"/>
        </w:rPr>
        <w:t>Department/</w:t>
      </w:r>
      <w:r w:rsidRPr="00437808">
        <w:rPr>
          <w:lang w:val="en-GB"/>
        </w:rPr>
        <w:t>Discipline, and senior members of support services should continue</w:t>
      </w:r>
      <w:r w:rsidR="00CF4491" w:rsidRPr="00437808">
        <w:rPr>
          <w:lang w:val="en-GB"/>
        </w:rPr>
        <w:t xml:space="preserve"> to be held</w:t>
      </w:r>
      <w:r w:rsidR="007543A5" w:rsidRPr="00437808">
        <w:rPr>
          <w:lang w:val="en-GB"/>
        </w:rPr>
        <w:t xml:space="preserve"> </w:t>
      </w:r>
      <w:r w:rsidR="0001595B" w:rsidRPr="00437808">
        <w:rPr>
          <w:lang w:val="en-GB"/>
        </w:rPr>
        <w:t xml:space="preserve">(currently referred to as </w:t>
      </w:r>
      <w:proofErr w:type="spellStart"/>
      <w:r w:rsidR="0001595B" w:rsidRPr="00437808">
        <w:rPr>
          <w:lang w:val="en-GB"/>
        </w:rPr>
        <w:t>HoDs</w:t>
      </w:r>
      <w:proofErr w:type="spellEnd"/>
      <w:r w:rsidR="007543A5" w:rsidRPr="00437808">
        <w:rPr>
          <w:lang w:val="en-GB"/>
        </w:rPr>
        <w:t>/HOSSs)</w:t>
      </w:r>
      <w:r w:rsidR="00B720F6" w:rsidRPr="00437808">
        <w:rPr>
          <w:lang w:val="en-GB"/>
        </w:rPr>
        <w:t>.</w:t>
      </w:r>
    </w:p>
    <w:p w:rsidR="00FC278E" w:rsidRPr="00437808" w:rsidRDefault="00F6411A" w:rsidP="007C73B3">
      <w:pPr>
        <w:pStyle w:val="ListParagraph"/>
        <w:numPr>
          <w:ilvl w:val="0"/>
          <w:numId w:val="23"/>
        </w:numPr>
        <w:spacing w:after="120" w:line="240" w:lineRule="auto"/>
        <w:rPr>
          <w:lang w:val="en-GB"/>
        </w:rPr>
      </w:pPr>
      <w:r w:rsidRPr="00437808">
        <w:rPr>
          <w:lang w:val="en-GB"/>
        </w:rPr>
        <w:t xml:space="preserve">The </w:t>
      </w:r>
      <w:r w:rsidR="00542E34" w:rsidRPr="00437808">
        <w:rPr>
          <w:lang w:val="en-GB"/>
        </w:rPr>
        <w:t>membership</w:t>
      </w:r>
      <w:r w:rsidRPr="00437808">
        <w:rPr>
          <w:lang w:val="en-GB"/>
        </w:rPr>
        <w:t xml:space="preserve"> of Senate needs to be </w:t>
      </w:r>
      <w:r w:rsidR="006F4771" w:rsidRPr="00437808">
        <w:rPr>
          <w:lang w:val="en-GB"/>
        </w:rPr>
        <w:t>reviewed</w:t>
      </w:r>
      <w:r w:rsidR="00B720F6" w:rsidRPr="00437808">
        <w:rPr>
          <w:lang w:val="en-GB"/>
        </w:rPr>
        <w:t>.</w:t>
      </w:r>
    </w:p>
    <w:p w:rsidR="006B20E2" w:rsidRPr="00437808" w:rsidRDefault="00FC278E" w:rsidP="007C73B3">
      <w:pPr>
        <w:pStyle w:val="ListParagraph"/>
        <w:numPr>
          <w:ilvl w:val="0"/>
          <w:numId w:val="23"/>
        </w:numPr>
        <w:spacing w:after="120" w:line="240" w:lineRule="auto"/>
        <w:rPr>
          <w:lang w:val="en-GB"/>
        </w:rPr>
      </w:pPr>
      <w:r w:rsidRPr="00437808">
        <w:rPr>
          <w:lang w:val="en-GB"/>
        </w:rPr>
        <w:t>Consideration should be given, though the University’s Estates Strategy, to increase the geographical proximity of departments which make up a proposed School but which are not currently co-located.</w:t>
      </w:r>
    </w:p>
    <w:p w:rsidR="00542E34" w:rsidRPr="00437808" w:rsidRDefault="00AB526C" w:rsidP="007C73B3">
      <w:pPr>
        <w:pStyle w:val="ListParagraph"/>
        <w:numPr>
          <w:ilvl w:val="0"/>
          <w:numId w:val="23"/>
        </w:numPr>
        <w:spacing w:after="120" w:line="240" w:lineRule="auto"/>
        <w:rPr>
          <w:lang w:val="en-GB"/>
        </w:rPr>
      </w:pPr>
      <w:r w:rsidRPr="00437808">
        <w:rPr>
          <w:lang w:val="en-GB"/>
        </w:rPr>
        <w:t>The re</w:t>
      </w:r>
      <w:r w:rsidR="00341CFB" w:rsidRPr="00437808">
        <w:rPr>
          <w:lang w:val="en-GB"/>
        </w:rPr>
        <w:t>structuring should be seen as part of a bigger process to streamline our activities</w:t>
      </w:r>
      <w:r w:rsidR="0083167D" w:rsidRPr="00437808">
        <w:rPr>
          <w:lang w:val="en-GB"/>
        </w:rPr>
        <w:t>, and how Central Services can best support the new Schools needs to be established</w:t>
      </w:r>
      <w:r w:rsidR="00341CFB" w:rsidRPr="00437808">
        <w:rPr>
          <w:lang w:val="en-GB"/>
        </w:rPr>
        <w:t>.</w:t>
      </w:r>
      <w:r w:rsidR="00B20C48" w:rsidRPr="00437808">
        <w:rPr>
          <w:lang w:val="en-GB"/>
        </w:rPr>
        <w:t xml:space="preserve"> </w:t>
      </w:r>
    </w:p>
    <w:p w:rsidR="001055CE" w:rsidRPr="00437808" w:rsidRDefault="00542E34" w:rsidP="007C73B3">
      <w:pPr>
        <w:pStyle w:val="ListParagraph"/>
        <w:numPr>
          <w:ilvl w:val="0"/>
          <w:numId w:val="23"/>
        </w:numPr>
        <w:spacing w:after="120" w:line="240" w:lineRule="auto"/>
        <w:rPr>
          <w:lang w:val="en-GB"/>
        </w:rPr>
      </w:pPr>
      <w:r w:rsidRPr="00437808">
        <w:rPr>
          <w:lang w:val="en-GB"/>
        </w:rPr>
        <w:t>The detailed internal structure of Schools should be for their respective SMGs to decide</w:t>
      </w:r>
      <w:r w:rsidR="00437808">
        <w:rPr>
          <w:lang w:val="en-GB"/>
        </w:rPr>
        <w:t>.</w:t>
      </w:r>
    </w:p>
    <w:p w:rsidR="00E57788" w:rsidRPr="00437808" w:rsidRDefault="00542E34" w:rsidP="000740FD">
      <w:pPr>
        <w:spacing w:after="120" w:line="240" w:lineRule="auto"/>
        <w:jc w:val="left"/>
        <w:rPr>
          <w:strike/>
          <w:lang w:val="en-GB"/>
        </w:rPr>
      </w:pPr>
      <w:r w:rsidRPr="00437808">
        <w:rPr>
          <w:lang w:val="en-GB"/>
        </w:rPr>
        <w:t>F</w:t>
      </w:r>
      <w:r w:rsidR="000C64AD" w:rsidRPr="00437808">
        <w:rPr>
          <w:lang w:val="en-GB"/>
        </w:rPr>
        <w:t xml:space="preserve">urther details about responsibilities within our proposed structure are given in Annex </w:t>
      </w:r>
      <w:r w:rsidR="00625CB0" w:rsidRPr="00437808">
        <w:rPr>
          <w:lang w:val="en-GB"/>
        </w:rPr>
        <w:t>D</w:t>
      </w:r>
      <w:r w:rsidR="000C64AD" w:rsidRPr="00437808">
        <w:rPr>
          <w:lang w:val="en-GB"/>
        </w:rPr>
        <w:t>.</w:t>
      </w:r>
      <w:r w:rsidR="008F068A" w:rsidRPr="00437808">
        <w:rPr>
          <w:lang w:val="en-GB"/>
        </w:rPr>
        <w:t xml:space="preserve"> Wor</w:t>
      </w:r>
      <w:r w:rsidR="004430E4" w:rsidRPr="00437808">
        <w:rPr>
          <w:lang w:val="en-GB"/>
        </w:rPr>
        <w:t>k still needs to be done on mapping some faculty roles onto</w:t>
      </w:r>
      <w:r w:rsidR="008F068A" w:rsidRPr="00437808">
        <w:rPr>
          <w:lang w:val="en-GB"/>
        </w:rPr>
        <w:t xml:space="preserve"> this structure.</w:t>
      </w:r>
      <w:r w:rsidR="00F6411A" w:rsidRPr="00437808">
        <w:rPr>
          <w:lang w:val="en-GB"/>
        </w:rPr>
        <w:t xml:space="preserve"> </w:t>
      </w:r>
    </w:p>
    <w:p w:rsidR="00341CFB" w:rsidRPr="00437808" w:rsidRDefault="00341CFB" w:rsidP="000740FD">
      <w:pPr>
        <w:spacing w:after="120" w:line="240" w:lineRule="auto"/>
        <w:jc w:val="left"/>
        <w:rPr>
          <w:b/>
          <w:sz w:val="28"/>
          <w:lang w:val="en-GB"/>
        </w:rPr>
      </w:pPr>
      <w:r w:rsidRPr="00437808">
        <w:rPr>
          <w:b/>
          <w:sz w:val="28"/>
          <w:lang w:val="en-GB"/>
        </w:rPr>
        <w:lastRenderedPageBreak/>
        <w:t>Benefits</w:t>
      </w:r>
    </w:p>
    <w:p w:rsidR="009458F1" w:rsidRPr="00437808" w:rsidRDefault="00341CFB" w:rsidP="000740FD">
      <w:pPr>
        <w:spacing w:after="120" w:line="240" w:lineRule="auto"/>
        <w:jc w:val="left"/>
        <w:rPr>
          <w:lang w:val="en-GB"/>
        </w:rPr>
      </w:pPr>
      <w:r w:rsidRPr="00437808">
        <w:rPr>
          <w:lang w:val="en-GB"/>
        </w:rPr>
        <w:t xml:space="preserve">We believe that our recommendations will </w:t>
      </w:r>
      <w:r w:rsidR="0045571B" w:rsidRPr="00437808">
        <w:rPr>
          <w:lang w:val="en-GB"/>
        </w:rPr>
        <w:t>lead to</w:t>
      </w:r>
      <w:r w:rsidRPr="00437808">
        <w:rPr>
          <w:lang w:val="en-GB"/>
        </w:rPr>
        <w:t xml:space="preserve"> a number of benefits:</w:t>
      </w:r>
    </w:p>
    <w:p w:rsidR="005908E4" w:rsidRPr="00437808" w:rsidRDefault="005908E4" w:rsidP="007C73B3">
      <w:pPr>
        <w:pStyle w:val="ListParagraph"/>
        <w:numPr>
          <w:ilvl w:val="0"/>
          <w:numId w:val="24"/>
        </w:numPr>
        <w:spacing w:after="120" w:line="240" w:lineRule="auto"/>
      </w:pPr>
      <w:r w:rsidRPr="00437808">
        <w:t>A greater ability to share facilities and support will lead to significant long-term savings. How this is achieved and what the precise savings will be will be largely driven by local management decisions within Schools.</w:t>
      </w:r>
    </w:p>
    <w:p w:rsidR="009458F1" w:rsidRPr="00437808" w:rsidRDefault="009458F1" w:rsidP="007C73B3">
      <w:pPr>
        <w:pStyle w:val="ListParagraph"/>
        <w:numPr>
          <w:ilvl w:val="0"/>
          <w:numId w:val="24"/>
        </w:numPr>
        <w:spacing w:after="120" w:line="240" w:lineRule="auto"/>
      </w:pPr>
      <w:r w:rsidRPr="00437808">
        <w:rPr>
          <w:lang w:val="en-GB"/>
        </w:rPr>
        <w:t xml:space="preserve">Larger cost centres will have a </w:t>
      </w:r>
      <w:r w:rsidRPr="00437808">
        <w:t xml:space="preserve">greater ability to be able to cope collectively with the work pressures on individual component parts. (This is the experience of </w:t>
      </w:r>
      <w:r w:rsidR="001055CE" w:rsidRPr="00437808">
        <w:t xml:space="preserve">Central </w:t>
      </w:r>
      <w:r w:rsidRPr="00437808">
        <w:t>Support Services which have been engaged in a move to larg</w:t>
      </w:r>
      <w:r w:rsidR="00CF4491" w:rsidRPr="00437808">
        <w:t xml:space="preserve">er cost </w:t>
      </w:r>
      <w:proofErr w:type="spellStart"/>
      <w:r w:rsidR="00CF4491" w:rsidRPr="00437808">
        <w:t>centres</w:t>
      </w:r>
      <w:proofErr w:type="spellEnd"/>
      <w:r w:rsidR="00CF4491" w:rsidRPr="00437808">
        <w:t xml:space="preserve"> in recent years</w:t>
      </w:r>
      <w:r w:rsidRPr="00437808">
        <w:t>)</w:t>
      </w:r>
      <w:r w:rsidR="00B720F6" w:rsidRPr="00437808">
        <w:t>.</w:t>
      </w:r>
    </w:p>
    <w:p w:rsidR="00341CFB" w:rsidRPr="00437808" w:rsidRDefault="009458F1" w:rsidP="007C73B3">
      <w:pPr>
        <w:pStyle w:val="ListParagraph"/>
        <w:numPr>
          <w:ilvl w:val="0"/>
          <w:numId w:val="24"/>
        </w:numPr>
        <w:spacing w:after="120" w:line="240" w:lineRule="auto"/>
        <w:rPr>
          <w:lang w:val="en-GB"/>
        </w:rPr>
      </w:pPr>
      <w:r w:rsidRPr="00437808">
        <w:rPr>
          <w:lang w:val="en-GB"/>
        </w:rPr>
        <w:t>As a consequence, the new structure will be more resilient in the face of significant public spending cuts. These arguments are elaborated on in Annex F</w:t>
      </w:r>
      <w:r w:rsidR="00B720F6" w:rsidRPr="00437808">
        <w:rPr>
          <w:lang w:val="en-GB"/>
        </w:rPr>
        <w:t>.</w:t>
      </w:r>
    </w:p>
    <w:p w:rsidR="00B43C19" w:rsidRPr="00437808" w:rsidRDefault="00341CFB" w:rsidP="007C73B3">
      <w:pPr>
        <w:pStyle w:val="ListParagraph"/>
        <w:numPr>
          <w:ilvl w:val="0"/>
          <w:numId w:val="24"/>
        </w:numPr>
        <w:spacing w:after="120" w:line="240" w:lineRule="auto"/>
        <w:rPr>
          <w:lang w:val="en-GB"/>
        </w:rPr>
      </w:pPr>
      <w:r w:rsidRPr="00437808">
        <w:rPr>
          <w:lang w:val="en-GB"/>
        </w:rPr>
        <w:t>The new structure puts academic leadership at the heart of decision making within the University</w:t>
      </w:r>
      <w:r w:rsidR="00B720F6" w:rsidRPr="00437808">
        <w:rPr>
          <w:lang w:val="en-GB"/>
        </w:rPr>
        <w:t>.</w:t>
      </w:r>
    </w:p>
    <w:p w:rsidR="009458F1" w:rsidRPr="00437808" w:rsidRDefault="00B43C19" w:rsidP="007C73B3">
      <w:pPr>
        <w:pStyle w:val="ListParagraph"/>
        <w:numPr>
          <w:ilvl w:val="0"/>
          <w:numId w:val="24"/>
        </w:numPr>
        <w:spacing w:after="120" w:line="240" w:lineRule="auto"/>
        <w:rPr>
          <w:lang w:val="en-GB"/>
        </w:rPr>
      </w:pPr>
      <w:r w:rsidRPr="00437808">
        <w:rPr>
          <w:lang w:val="en-GB"/>
        </w:rPr>
        <w:t xml:space="preserve">There will be </w:t>
      </w:r>
      <w:r w:rsidR="00A861B9" w:rsidRPr="00437808">
        <w:rPr>
          <w:lang w:val="en-GB"/>
        </w:rPr>
        <w:t>a</w:t>
      </w:r>
      <w:r w:rsidRPr="00437808">
        <w:rPr>
          <w:lang w:val="en-GB"/>
        </w:rPr>
        <w:t xml:space="preserve"> saving of </w:t>
      </w:r>
      <w:r w:rsidR="008345D9" w:rsidRPr="00437808">
        <w:rPr>
          <w:lang w:val="en-GB"/>
        </w:rPr>
        <w:t xml:space="preserve">over </w:t>
      </w:r>
      <w:r w:rsidRPr="00437808">
        <w:rPr>
          <w:lang w:val="en-GB"/>
        </w:rPr>
        <w:t>£</w:t>
      </w:r>
      <w:r w:rsidR="008345D9" w:rsidRPr="00437808">
        <w:rPr>
          <w:lang w:val="en-GB"/>
        </w:rPr>
        <w:t>600</w:t>
      </w:r>
      <w:r w:rsidRPr="00437808">
        <w:rPr>
          <w:lang w:val="en-GB"/>
        </w:rPr>
        <w:t xml:space="preserve">k </w:t>
      </w:r>
      <w:r w:rsidR="008345D9" w:rsidRPr="00437808">
        <w:rPr>
          <w:lang w:val="en-GB"/>
        </w:rPr>
        <w:t xml:space="preserve">p.a. </w:t>
      </w:r>
      <w:r w:rsidRPr="00437808">
        <w:rPr>
          <w:lang w:val="en-GB"/>
        </w:rPr>
        <w:t xml:space="preserve">as a result of stripping out a layer of management. Details are in Annex </w:t>
      </w:r>
      <w:r w:rsidR="00625CB0" w:rsidRPr="00437808">
        <w:rPr>
          <w:lang w:val="en-GB"/>
        </w:rPr>
        <w:t>E</w:t>
      </w:r>
      <w:r w:rsidRPr="00437808">
        <w:rPr>
          <w:lang w:val="en-GB"/>
        </w:rPr>
        <w:t>.</w:t>
      </w:r>
      <w:r w:rsidR="00CB3602" w:rsidRPr="00437808">
        <w:rPr>
          <w:lang w:val="en-GB"/>
        </w:rPr>
        <w:t xml:space="preserve"> It should be noted that we have assumed that the majority of Faculty functions will continue in the new structure (the total of budgets currently held at Faculty level is £2.8M).</w:t>
      </w:r>
      <w:r w:rsidR="00010DEB" w:rsidRPr="00437808">
        <w:rPr>
          <w:lang w:val="en-GB"/>
        </w:rPr>
        <w:t xml:space="preserve"> It is accepted that this </w:t>
      </w:r>
      <w:r w:rsidR="00A73F04" w:rsidRPr="00437808">
        <w:rPr>
          <w:lang w:val="en-GB"/>
        </w:rPr>
        <w:t xml:space="preserve">saving </w:t>
      </w:r>
      <w:r w:rsidR="00010DEB" w:rsidRPr="00437808">
        <w:rPr>
          <w:lang w:val="en-GB"/>
        </w:rPr>
        <w:t xml:space="preserve">will be </w:t>
      </w:r>
      <w:r w:rsidR="00E67FC2" w:rsidRPr="00437808">
        <w:rPr>
          <w:lang w:val="en-GB"/>
        </w:rPr>
        <w:t xml:space="preserve">partly </w:t>
      </w:r>
      <w:r w:rsidR="00010DEB" w:rsidRPr="00437808">
        <w:rPr>
          <w:lang w:val="en-GB"/>
        </w:rPr>
        <w:t>offset by some temporary additional costs</w:t>
      </w:r>
      <w:r w:rsidR="00B720F6" w:rsidRPr="00437808">
        <w:rPr>
          <w:lang w:val="en-GB"/>
        </w:rPr>
        <w:t>.</w:t>
      </w:r>
    </w:p>
    <w:p w:rsidR="00B43C19" w:rsidRPr="00437808" w:rsidRDefault="009458F1" w:rsidP="007C73B3">
      <w:pPr>
        <w:pStyle w:val="ListParagraph"/>
        <w:numPr>
          <w:ilvl w:val="0"/>
          <w:numId w:val="24"/>
        </w:numPr>
        <w:spacing w:after="120" w:line="240" w:lineRule="auto"/>
        <w:rPr>
          <w:lang w:val="en-GB"/>
        </w:rPr>
      </w:pPr>
      <w:r w:rsidRPr="00437808">
        <w:rPr>
          <w:lang w:val="en-GB"/>
        </w:rPr>
        <w:t>A smaller number of cost centres should enable Central Support Services to work more efficiently and effectively with academic departments and we would expect this to lead to savings in the medium term</w:t>
      </w:r>
      <w:r w:rsidR="00B720F6" w:rsidRPr="00437808">
        <w:rPr>
          <w:lang w:val="en-GB"/>
        </w:rPr>
        <w:t>.</w:t>
      </w:r>
    </w:p>
    <w:p w:rsidR="00341CFB" w:rsidRPr="00437808" w:rsidRDefault="008345D9" w:rsidP="007C73B3">
      <w:pPr>
        <w:pStyle w:val="ListParagraph"/>
        <w:numPr>
          <w:ilvl w:val="0"/>
          <w:numId w:val="24"/>
        </w:numPr>
        <w:spacing w:after="120" w:line="240" w:lineRule="auto"/>
        <w:rPr>
          <w:lang w:val="en-GB"/>
        </w:rPr>
      </w:pPr>
      <w:r w:rsidRPr="00437808">
        <w:rPr>
          <w:lang w:val="en-GB"/>
        </w:rPr>
        <w:t xml:space="preserve">There would be a good opportunity for LSU to reform the current Programme Representative structure, which LSU have indicated is </w:t>
      </w:r>
      <w:r w:rsidR="00B20C48" w:rsidRPr="00437808">
        <w:rPr>
          <w:lang w:val="en-GB"/>
        </w:rPr>
        <w:t>desired</w:t>
      </w:r>
      <w:r w:rsidR="00B720F6" w:rsidRPr="00437808">
        <w:rPr>
          <w:lang w:val="en-GB"/>
        </w:rPr>
        <w:t>.</w:t>
      </w:r>
    </w:p>
    <w:p w:rsidR="00F67BBE" w:rsidRPr="00437808" w:rsidRDefault="009458F1" w:rsidP="007C73B3">
      <w:pPr>
        <w:pStyle w:val="ListParagraph"/>
        <w:numPr>
          <w:ilvl w:val="0"/>
          <w:numId w:val="24"/>
        </w:numPr>
        <w:spacing w:after="120" w:line="240" w:lineRule="auto"/>
        <w:rPr>
          <w:lang w:val="en-GB"/>
        </w:rPr>
      </w:pPr>
      <w:r w:rsidRPr="00437808">
        <w:rPr>
          <w:lang w:val="en-GB"/>
        </w:rPr>
        <w:t>It should be possible, within a School structure, to provide better career pathways for departmental support staff.</w:t>
      </w:r>
    </w:p>
    <w:p w:rsidR="00F67BBE" w:rsidRPr="00437808" w:rsidRDefault="00F67BBE" w:rsidP="000740FD">
      <w:pPr>
        <w:spacing w:after="120" w:line="240" w:lineRule="auto"/>
        <w:jc w:val="left"/>
        <w:rPr>
          <w:b/>
          <w:sz w:val="28"/>
          <w:lang w:val="en-GB"/>
        </w:rPr>
      </w:pPr>
      <w:r w:rsidRPr="00437808">
        <w:rPr>
          <w:b/>
          <w:sz w:val="28"/>
          <w:lang w:val="en-GB"/>
        </w:rPr>
        <w:t>Risks</w:t>
      </w:r>
    </w:p>
    <w:p w:rsidR="00F67BBE" w:rsidRPr="00437808" w:rsidRDefault="00F67BBE" w:rsidP="000740FD">
      <w:pPr>
        <w:spacing w:after="120" w:line="240" w:lineRule="auto"/>
        <w:jc w:val="left"/>
        <w:rPr>
          <w:lang w:val="en-GB"/>
        </w:rPr>
      </w:pPr>
      <w:r w:rsidRPr="00437808">
        <w:rPr>
          <w:lang w:val="en-GB"/>
        </w:rPr>
        <w:t xml:space="preserve">A number of risks were identified in our interim report. </w:t>
      </w:r>
      <w:r w:rsidR="001F6872" w:rsidRPr="00437808">
        <w:rPr>
          <w:lang w:val="en-GB"/>
        </w:rPr>
        <w:t>The feedback that we received from staff suggests that the following are particularly significant.</w:t>
      </w:r>
    </w:p>
    <w:p w:rsidR="00F67BBE" w:rsidRPr="00437808" w:rsidRDefault="001F6872" w:rsidP="007C73B3">
      <w:pPr>
        <w:pStyle w:val="ListParagraph"/>
        <w:numPr>
          <w:ilvl w:val="0"/>
          <w:numId w:val="25"/>
        </w:numPr>
        <w:spacing w:line="240" w:lineRule="auto"/>
      </w:pPr>
      <w:r w:rsidRPr="00437808">
        <w:t>Potential l</w:t>
      </w:r>
      <w:r w:rsidR="00F67BBE" w:rsidRPr="00437808">
        <w:t>owering of morale across the University – in particular, with regard to job insecurity and possible enforced redeployment</w:t>
      </w:r>
      <w:r w:rsidR="00B720F6" w:rsidRPr="00437808">
        <w:t>.</w:t>
      </w:r>
    </w:p>
    <w:p w:rsidR="00F67BBE" w:rsidRPr="00437808" w:rsidRDefault="00F67BBE" w:rsidP="007C73B3">
      <w:pPr>
        <w:pStyle w:val="ListParagraph"/>
        <w:numPr>
          <w:ilvl w:val="0"/>
          <w:numId w:val="25"/>
        </w:numPr>
        <w:spacing w:line="240" w:lineRule="auto"/>
      </w:pPr>
      <w:r w:rsidRPr="00437808">
        <w:t>The close relationship that exists between students and staff in a small department may be difficult to replicate in larger Schools</w:t>
      </w:r>
      <w:r w:rsidR="00B720F6" w:rsidRPr="00437808">
        <w:t>.</w:t>
      </w:r>
    </w:p>
    <w:p w:rsidR="00F67BBE" w:rsidRPr="00437808" w:rsidRDefault="00F67BBE" w:rsidP="007C73B3">
      <w:pPr>
        <w:pStyle w:val="ListParagraph"/>
        <w:numPr>
          <w:ilvl w:val="0"/>
          <w:numId w:val="25"/>
        </w:numPr>
        <w:spacing w:line="240" w:lineRule="auto"/>
      </w:pPr>
      <w:r w:rsidRPr="00437808">
        <w:t>Potential loss of discipline identity and of internationally renowned brands, with knock-on effects for recruitment and research funding</w:t>
      </w:r>
      <w:r w:rsidR="00B720F6" w:rsidRPr="00437808">
        <w:t>.</w:t>
      </w:r>
    </w:p>
    <w:p w:rsidR="00CF4491" w:rsidRPr="00437808" w:rsidRDefault="00F67BBE" w:rsidP="007C73B3">
      <w:pPr>
        <w:pStyle w:val="ListParagraph"/>
        <w:numPr>
          <w:ilvl w:val="0"/>
          <w:numId w:val="25"/>
        </w:numPr>
        <w:spacing w:line="240" w:lineRule="auto"/>
      </w:pPr>
      <w:r w:rsidRPr="00437808">
        <w:t xml:space="preserve">Possible loss of focus on other activities, e.g. the REF, during the </w:t>
      </w:r>
      <w:r w:rsidR="00B720F6" w:rsidRPr="00437808">
        <w:t>reorganization.</w:t>
      </w:r>
    </w:p>
    <w:p w:rsidR="00F67BBE" w:rsidRPr="00437808" w:rsidRDefault="00CF4491" w:rsidP="007C73B3">
      <w:pPr>
        <w:pStyle w:val="ListParagraph"/>
        <w:numPr>
          <w:ilvl w:val="0"/>
          <w:numId w:val="25"/>
        </w:numPr>
        <w:spacing w:line="240" w:lineRule="auto"/>
      </w:pPr>
      <w:r w:rsidRPr="00437808">
        <w:t xml:space="preserve">Anxiety about resource allocation models and business planning where </w:t>
      </w:r>
      <w:r w:rsidR="000929B1" w:rsidRPr="00437808">
        <w:t>d</w:t>
      </w:r>
      <w:r w:rsidRPr="00437808">
        <w:t>epartments with different resource needs are being aligned</w:t>
      </w:r>
      <w:r w:rsidR="00B720F6" w:rsidRPr="00437808">
        <w:t>.</w:t>
      </w:r>
    </w:p>
    <w:p w:rsidR="00F67BBE" w:rsidRPr="00437808" w:rsidRDefault="00F67BBE" w:rsidP="007C73B3">
      <w:pPr>
        <w:pStyle w:val="ListParagraph"/>
        <w:numPr>
          <w:ilvl w:val="0"/>
          <w:numId w:val="25"/>
        </w:numPr>
        <w:spacing w:line="240" w:lineRule="auto"/>
      </w:pPr>
      <w:r w:rsidRPr="00437808">
        <w:t>Possible loss of collegiality</w:t>
      </w:r>
      <w:r w:rsidR="00F6411A" w:rsidRPr="00437808">
        <w:t>. Schools must not become separate fiefdoms.</w:t>
      </w:r>
    </w:p>
    <w:p w:rsidR="007C73B3" w:rsidRPr="00437808" w:rsidRDefault="00F67BBE" w:rsidP="000740FD">
      <w:pPr>
        <w:spacing w:after="120" w:line="240" w:lineRule="auto"/>
      </w:pPr>
      <w:r w:rsidRPr="00437808">
        <w:t xml:space="preserve">The </w:t>
      </w:r>
      <w:r w:rsidR="003C439C" w:rsidRPr="00437808">
        <w:t>implementation PMB</w:t>
      </w:r>
      <w:r w:rsidRPr="00437808">
        <w:t xml:space="preserve"> should draw up a detailed risk assessment </w:t>
      </w:r>
      <w:r w:rsidR="00436C1F" w:rsidRPr="00437808">
        <w:t>and one of its key responsibilities would be to ensure that these risks are managed well</w:t>
      </w:r>
      <w:r w:rsidR="001F6872" w:rsidRPr="00437808">
        <w:t xml:space="preserve"> so that any adverse effects of restructuring are kept to a minimum</w:t>
      </w:r>
      <w:r w:rsidR="00436C1F" w:rsidRPr="00437808">
        <w:t>.</w:t>
      </w:r>
    </w:p>
    <w:p w:rsidR="007C73B3" w:rsidRPr="00437808" w:rsidRDefault="007C73B3" w:rsidP="000740FD">
      <w:pPr>
        <w:spacing w:after="120" w:line="240" w:lineRule="auto"/>
      </w:pPr>
    </w:p>
    <w:p w:rsidR="006F4771" w:rsidRPr="00437808" w:rsidRDefault="006F4771" w:rsidP="000740FD">
      <w:pPr>
        <w:spacing w:after="120" w:line="240" w:lineRule="auto"/>
      </w:pPr>
    </w:p>
    <w:p w:rsidR="004E294E" w:rsidRPr="00437808" w:rsidRDefault="004E294E" w:rsidP="000740FD">
      <w:pPr>
        <w:spacing w:after="120" w:line="240" w:lineRule="auto"/>
        <w:rPr>
          <w:b/>
          <w:sz w:val="28"/>
        </w:rPr>
      </w:pPr>
      <w:r w:rsidRPr="00437808">
        <w:rPr>
          <w:b/>
          <w:sz w:val="28"/>
        </w:rPr>
        <w:t>Costs</w:t>
      </w:r>
    </w:p>
    <w:p w:rsidR="004E294E" w:rsidRPr="00437808" w:rsidRDefault="004E294E" w:rsidP="007C73B3">
      <w:pPr>
        <w:pStyle w:val="ListParagraph"/>
        <w:numPr>
          <w:ilvl w:val="0"/>
          <w:numId w:val="27"/>
        </w:numPr>
        <w:spacing w:after="120" w:line="240" w:lineRule="auto"/>
      </w:pPr>
      <w:r w:rsidRPr="00437808">
        <w:t>The costs associated with implementing change will primarily be in terms of staff time</w:t>
      </w:r>
      <w:r w:rsidR="00E57788" w:rsidRPr="00437808">
        <w:t>, though the early appointment of Deans and School Managers before Schools formally exist will help to reduce thi</w:t>
      </w:r>
      <w:r w:rsidR="005908E4" w:rsidRPr="00437808">
        <w:t xml:space="preserve">s. </w:t>
      </w:r>
    </w:p>
    <w:p w:rsidR="005908E4" w:rsidRPr="00437808" w:rsidRDefault="004E294E" w:rsidP="007C73B3">
      <w:pPr>
        <w:pStyle w:val="ListParagraph"/>
        <w:numPr>
          <w:ilvl w:val="0"/>
          <w:numId w:val="27"/>
        </w:numPr>
        <w:spacing w:after="120" w:line="240" w:lineRule="auto"/>
      </w:pPr>
      <w:r w:rsidRPr="00437808">
        <w:t>It may be that the appointments of School Managers will temporarily increase staff costs. However, these should be clawed back as economies of scale are achieved.</w:t>
      </w:r>
    </w:p>
    <w:p w:rsidR="004E294E" w:rsidRPr="00437808" w:rsidRDefault="005908E4" w:rsidP="007C73B3">
      <w:pPr>
        <w:pStyle w:val="ListParagraph"/>
        <w:numPr>
          <w:ilvl w:val="0"/>
          <w:numId w:val="27"/>
        </w:numPr>
        <w:spacing w:after="120" w:line="240" w:lineRule="auto"/>
      </w:pPr>
      <w:r w:rsidRPr="00437808">
        <w:t>There will be additional costs due to the need for minor works, re-equipping offices etc., to facilitate restructuring of School administrations.</w:t>
      </w:r>
    </w:p>
    <w:p w:rsidR="007C73B3" w:rsidRPr="00437808" w:rsidRDefault="004E294E" w:rsidP="007C73B3">
      <w:pPr>
        <w:pStyle w:val="ListParagraph"/>
        <w:numPr>
          <w:ilvl w:val="0"/>
          <w:numId w:val="27"/>
        </w:numPr>
        <w:spacing w:after="120" w:line="240" w:lineRule="auto"/>
      </w:pPr>
      <w:r w:rsidRPr="00437808">
        <w:t>The University has set aside £</w:t>
      </w:r>
      <w:r w:rsidR="00E57788" w:rsidRPr="00437808">
        <w:t>250k per annum</w:t>
      </w:r>
      <w:r w:rsidRPr="00437808">
        <w:t xml:space="preserve"> to finance the restructuring process.</w:t>
      </w:r>
    </w:p>
    <w:p w:rsidR="00F67BBE" w:rsidRPr="00437808" w:rsidRDefault="00F67BBE" w:rsidP="007C73B3">
      <w:pPr>
        <w:spacing w:after="120" w:line="240" w:lineRule="auto"/>
      </w:pPr>
    </w:p>
    <w:p w:rsidR="006C43DA" w:rsidRPr="00437808" w:rsidRDefault="006C43DA" w:rsidP="006C43DA">
      <w:pPr>
        <w:spacing w:after="120" w:line="240" w:lineRule="auto"/>
        <w:rPr>
          <w:b/>
          <w:sz w:val="28"/>
          <w:lang w:val="en-GB"/>
        </w:rPr>
      </w:pPr>
      <w:r w:rsidRPr="00437808">
        <w:rPr>
          <w:b/>
          <w:sz w:val="28"/>
          <w:lang w:val="en-GB"/>
        </w:rPr>
        <w:t>Work undertaken by the PMB</w:t>
      </w:r>
    </w:p>
    <w:p w:rsidR="006C43DA" w:rsidRPr="00437808" w:rsidRDefault="006C43DA" w:rsidP="006C43DA">
      <w:pPr>
        <w:spacing w:after="120" w:line="240" w:lineRule="auto"/>
        <w:rPr>
          <w:lang w:val="en-GB"/>
        </w:rPr>
      </w:pPr>
      <w:proofErr w:type="gramStart"/>
      <w:r w:rsidRPr="00437808">
        <w:rPr>
          <w:lang w:val="en-GB"/>
        </w:rPr>
        <w:t>For information.</w:t>
      </w:r>
      <w:proofErr w:type="gramEnd"/>
    </w:p>
    <w:p w:rsidR="006C43DA" w:rsidRPr="00437808" w:rsidRDefault="006C43DA" w:rsidP="006C43DA">
      <w:pPr>
        <w:spacing w:after="120" w:line="240" w:lineRule="auto"/>
        <w:rPr>
          <w:lang w:val="en-GB"/>
        </w:rPr>
      </w:pPr>
      <w:r w:rsidRPr="00437808">
        <w:rPr>
          <w:lang w:val="en-GB"/>
        </w:rPr>
        <w:t>The PMB met on 3 March, 31 March, 13 April, 12 May and 3 June.</w:t>
      </w:r>
    </w:p>
    <w:p w:rsidR="006C43DA" w:rsidRPr="00437808" w:rsidRDefault="006C43DA" w:rsidP="006C43DA">
      <w:pPr>
        <w:spacing w:after="120" w:line="240" w:lineRule="auto"/>
        <w:rPr>
          <w:lang w:val="en-GB"/>
        </w:rPr>
      </w:pPr>
      <w:r w:rsidRPr="00437808">
        <w:rPr>
          <w:lang w:val="en-GB"/>
        </w:rPr>
        <w:t>As part of the consultation process, the Chair of the PMB has met with the Deans of Engineering and SSH, all the Faculty Directorates, the three PVCs, Services Working Together, the Faculty IT coordinators (FITCs), the ADTs, the Departmental Administrators Liaison Group, representatives of the Students’ Union, and representatives from the joint campus unions. There have been numerous meetings between members of the PMB and individual members of staff. Colleagues from other Universities where restructuring has recently taken place have also been consulted about their experiences.</w:t>
      </w:r>
    </w:p>
    <w:p w:rsidR="006C43DA" w:rsidRPr="00437808" w:rsidRDefault="006C43DA" w:rsidP="006C43DA">
      <w:pPr>
        <w:spacing w:after="120" w:line="240" w:lineRule="auto"/>
        <w:rPr>
          <w:lang w:val="en-GB"/>
        </w:rPr>
      </w:pPr>
      <w:r w:rsidRPr="00437808">
        <w:rPr>
          <w:lang w:val="en-GB"/>
        </w:rPr>
        <w:t xml:space="preserve">An interim report was produced towards the end of April and this was made available to all staff in the University. A dedicated email address for the PMB was created and </w:t>
      </w:r>
      <w:proofErr w:type="gramStart"/>
      <w:r w:rsidRPr="00437808">
        <w:rPr>
          <w:lang w:val="en-GB"/>
        </w:rPr>
        <w:t>staff were</w:t>
      </w:r>
      <w:proofErr w:type="gramEnd"/>
      <w:r w:rsidRPr="00437808">
        <w:rPr>
          <w:lang w:val="en-GB"/>
        </w:rPr>
        <w:t xml:space="preserve"> encouraged to submit their views to the board before the meeting on 12 May. About 80 responses were received, some from individuals and some from groups of staff.</w:t>
      </w:r>
    </w:p>
    <w:p w:rsidR="006C43DA" w:rsidRPr="00437808" w:rsidRDefault="006C43DA" w:rsidP="006C43DA">
      <w:pPr>
        <w:spacing w:after="120" w:line="240" w:lineRule="auto"/>
        <w:rPr>
          <w:lang w:val="en-GB"/>
        </w:rPr>
      </w:pPr>
      <w:r w:rsidRPr="00437808">
        <w:rPr>
          <w:lang w:val="en-GB"/>
        </w:rPr>
        <w:t>A report was also prepared for ELT on 24 May.</w:t>
      </w:r>
    </w:p>
    <w:p w:rsidR="00B3717F" w:rsidRPr="00437808" w:rsidRDefault="00D2055C" w:rsidP="006C43DA">
      <w:pPr>
        <w:spacing w:after="120" w:line="240" w:lineRule="auto"/>
        <w:rPr>
          <w:b/>
          <w:sz w:val="28"/>
          <w:lang w:val="en-GB"/>
        </w:rPr>
      </w:pPr>
      <w:r w:rsidRPr="00437808">
        <w:rPr>
          <w:lang w:val="en-GB"/>
        </w:rPr>
        <w:br w:type="page"/>
      </w:r>
      <w:r w:rsidR="00B3717F" w:rsidRPr="00437808">
        <w:rPr>
          <w:b/>
          <w:sz w:val="28"/>
          <w:lang w:val="en-GB"/>
        </w:rPr>
        <w:lastRenderedPageBreak/>
        <w:t>Annex A: Terms of Reference</w:t>
      </w:r>
    </w:p>
    <w:p w:rsidR="00B3717F" w:rsidRPr="00437808" w:rsidRDefault="00B3717F" w:rsidP="000740FD">
      <w:pPr>
        <w:spacing w:after="120" w:line="240" w:lineRule="auto"/>
        <w:rPr>
          <w:lang w:val="en-GB"/>
        </w:rPr>
      </w:pPr>
      <w:r w:rsidRPr="00437808">
        <w:rPr>
          <w:lang w:val="en-GB"/>
        </w:rPr>
        <w:t>With reference to the Senate paper “Future Shape and Structure of the University”:</w:t>
      </w:r>
    </w:p>
    <w:p w:rsidR="00B3717F" w:rsidRPr="00437808" w:rsidRDefault="00B3717F" w:rsidP="000740FD">
      <w:pPr>
        <w:numPr>
          <w:ilvl w:val="0"/>
          <w:numId w:val="9"/>
        </w:numPr>
        <w:spacing w:after="120" w:line="240" w:lineRule="auto"/>
        <w:rPr>
          <w:lang w:val="en-GB"/>
        </w:rPr>
      </w:pPr>
      <w:r w:rsidRPr="00437808">
        <w:rPr>
          <w:lang w:val="en-GB"/>
        </w:rPr>
        <w:t>Recommend a larger cost centre (School) and team-based operational structure for implementation by August 2011.</w:t>
      </w:r>
    </w:p>
    <w:p w:rsidR="00B3717F" w:rsidRPr="00437808" w:rsidRDefault="00B3717F" w:rsidP="000740FD">
      <w:pPr>
        <w:numPr>
          <w:ilvl w:val="0"/>
          <w:numId w:val="9"/>
        </w:numPr>
        <w:spacing w:after="120" w:line="240" w:lineRule="auto"/>
        <w:rPr>
          <w:lang w:val="en-GB"/>
        </w:rPr>
      </w:pPr>
      <w:r w:rsidRPr="00437808">
        <w:rPr>
          <w:lang w:val="en-GB"/>
        </w:rPr>
        <w:t xml:space="preserve">Consider the current Faculty structure and whether it remains optimal for the organisation of Schools at University level.  Recommend an optimal structure which is able to contribute to the required savings. </w:t>
      </w:r>
    </w:p>
    <w:p w:rsidR="00B3717F" w:rsidRPr="00437808" w:rsidRDefault="00B3717F" w:rsidP="000740FD">
      <w:pPr>
        <w:numPr>
          <w:ilvl w:val="0"/>
          <w:numId w:val="9"/>
        </w:numPr>
        <w:spacing w:after="120" w:line="240" w:lineRule="auto"/>
        <w:rPr>
          <w:lang w:val="en-GB"/>
        </w:rPr>
      </w:pPr>
      <w:r w:rsidRPr="00437808">
        <w:rPr>
          <w:lang w:val="en-GB"/>
        </w:rPr>
        <w:t>Consult with academic and support service colleagues on the recommendations of the Project Management Board (PMB).</w:t>
      </w:r>
    </w:p>
    <w:p w:rsidR="00B3717F" w:rsidRPr="00437808" w:rsidRDefault="00B3717F" w:rsidP="000740FD">
      <w:pPr>
        <w:numPr>
          <w:ilvl w:val="0"/>
          <w:numId w:val="9"/>
        </w:numPr>
        <w:spacing w:after="120" w:line="240" w:lineRule="auto"/>
        <w:rPr>
          <w:lang w:val="en-GB"/>
        </w:rPr>
      </w:pPr>
      <w:r w:rsidRPr="00437808">
        <w:rPr>
          <w:lang w:val="en-GB"/>
        </w:rPr>
        <w:t xml:space="preserve">Consult with senior administrators in existing departments/schools on the recommendations of the PMB. </w:t>
      </w:r>
    </w:p>
    <w:p w:rsidR="00B3717F" w:rsidRPr="00437808" w:rsidRDefault="00B3717F" w:rsidP="000740FD">
      <w:pPr>
        <w:numPr>
          <w:ilvl w:val="0"/>
          <w:numId w:val="9"/>
        </w:numPr>
        <w:spacing w:after="120" w:line="240" w:lineRule="auto"/>
        <w:rPr>
          <w:lang w:val="en-GB"/>
        </w:rPr>
      </w:pPr>
      <w:r w:rsidRPr="00437808">
        <w:rPr>
          <w:lang w:val="en-GB"/>
        </w:rPr>
        <w:t xml:space="preserve">Consider the suggestions from the meeting of </w:t>
      </w:r>
      <w:proofErr w:type="spellStart"/>
      <w:r w:rsidRPr="00437808">
        <w:rPr>
          <w:lang w:val="en-GB"/>
        </w:rPr>
        <w:t>HoDs</w:t>
      </w:r>
      <w:proofErr w:type="spellEnd"/>
      <w:r w:rsidRPr="00437808">
        <w:rPr>
          <w:lang w:val="en-GB"/>
        </w:rPr>
        <w:t>/</w:t>
      </w:r>
      <w:proofErr w:type="spellStart"/>
      <w:r w:rsidRPr="00437808">
        <w:rPr>
          <w:lang w:val="en-GB"/>
        </w:rPr>
        <w:t>HoSSs</w:t>
      </w:r>
      <w:proofErr w:type="spellEnd"/>
      <w:r w:rsidRPr="00437808">
        <w:rPr>
          <w:lang w:val="en-GB"/>
        </w:rPr>
        <w:t xml:space="preserve"> of 2 February 2010 relevant to the future restructuring of the University.</w:t>
      </w:r>
    </w:p>
    <w:p w:rsidR="00B3717F" w:rsidRPr="00437808" w:rsidRDefault="00B3717F" w:rsidP="000740FD">
      <w:pPr>
        <w:spacing w:after="120" w:line="240" w:lineRule="auto"/>
        <w:rPr>
          <w:lang w:val="en-GB"/>
        </w:rPr>
      </w:pPr>
      <w:r w:rsidRPr="00437808">
        <w:rPr>
          <w:lang w:val="en-GB"/>
        </w:rPr>
        <w:t>Report the recommendations to ELT in the first instance in time for presentation to the June Senate.</w:t>
      </w:r>
    </w:p>
    <w:p w:rsidR="00B3717F" w:rsidRPr="00437808" w:rsidRDefault="00625CB0" w:rsidP="000740FD">
      <w:pPr>
        <w:spacing w:after="120" w:line="240" w:lineRule="auto"/>
        <w:rPr>
          <w:b/>
          <w:sz w:val="28"/>
          <w:lang w:val="en-GB"/>
        </w:rPr>
      </w:pPr>
      <w:r w:rsidRPr="00437808">
        <w:rPr>
          <w:b/>
          <w:sz w:val="28"/>
          <w:lang w:val="en-GB"/>
        </w:rPr>
        <w:t xml:space="preserve">Annex B: </w:t>
      </w:r>
      <w:r w:rsidR="00B3717F" w:rsidRPr="00437808">
        <w:rPr>
          <w:b/>
          <w:sz w:val="28"/>
          <w:lang w:val="en-GB"/>
        </w:rPr>
        <w:t>Background</w:t>
      </w:r>
    </w:p>
    <w:p w:rsidR="00B3717F" w:rsidRPr="00437808" w:rsidRDefault="00B3717F" w:rsidP="000740FD">
      <w:pPr>
        <w:spacing w:after="120" w:line="240" w:lineRule="auto"/>
        <w:rPr>
          <w:lang w:val="en-GB"/>
        </w:rPr>
      </w:pPr>
      <w:r w:rsidRPr="00437808">
        <w:rPr>
          <w:lang w:val="en-GB"/>
        </w:rPr>
        <w:t>A Strategic Review Working Group (SRWG), chaired by the DVC, made a number of recommendations to Senate in June 2004. These included the creation of cross-Faculty Research Schools and a Graduate School, both of which have been enacted. The group also recommended that Schools based on two/three departments be formed as and when possible and that Faculties should remain.</w:t>
      </w:r>
    </w:p>
    <w:p w:rsidR="00B3717F" w:rsidRPr="00437808" w:rsidRDefault="00B3717F" w:rsidP="000740FD">
      <w:pPr>
        <w:spacing w:after="120" w:line="240" w:lineRule="auto"/>
        <w:rPr>
          <w:lang w:val="en-GB"/>
        </w:rPr>
      </w:pPr>
      <w:r w:rsidRPr="00437808">
        <w:rPr>
          <w:lang w:val="en-GB"/>
        </w:rPr>
        <w:t>SRWG reported on progress to Senate in November 2005. A shift towards larger cost centres would continue where there was compelling justification. Discussion of wider organisational structure was deferred pending the arrival of a new VC.</w:t>
      </w:r>
    </w:p>
    <w:p w:rsidR="00B3717F" w:rsidRPr="00437808" w:rsidRDefault="00B3717F" w:rsidP="000740FD">
      <w:pPr>
        <w:spacing w:after="120" w:line="240" w:lineRule="auto"/>
        <w:rPr>
          <w:lang w:val="en-GB"/>
        </w:rPr>
      </w:pPr>
      <w:r w:rsidRPr="00437808">
        <w:rPr>
          <w:lang w:val="en-GB"/>
        </w:rPr>
        <w:t>There was further debate at the Senate/Council away day in June 2006. There was broad agreement that the University should have fewer, larger cost centres (both academic and service departments). It was noted that a reduction to 10 Schools would remove the need for Faculties.</w:t>
      </w:r>
    </w:p>
    <w:p w:rsidR="00B3717F" w:rsidRPr="00437808" w:rsidRDefault="00B3717F" w:rsidP="000740FD">
      <w:pPr>
        <w:spacing w:after="120" w:line="240" w:lineRule="auto"/>
        <w:rPr>
          <w:lang w:val="en-GB"/>
        </w:rPr>
      </w:pPr>
      <w:r w:rsidRPr="00437808">
        <w:rPr>
          <w:lang w:val="en-GB"/>
        </w:rPr>
        <w:t>The move to larger cost centres progressed slowly, with the formation of the School of Sport, Exercise and Health Sciences (SSEHS) and the Loughborough Design School (LDS). At the most recent Senate/Council away day in October 2009, organisational structure was still on the agenda. The priorities that were identified were to:</w:t>
      </w:r>
    </w:p>
    <w:p w:rsidR="00B3717F" w:rsidRPr="00437808" w:rsidRDefault="00B3717F" w:rsidP="000740FD">
      <w:pPr>
        <w:pStyle w:val="ListParagraph"/>
        <w:numPr>
          <w:ilvl w:val="0"/>
          <w:numId w:val="10"/>
        </w:numPr>
        <w:spacing w:after="120" w:line="240" w:lineRule="auto"/>
        <w:rPr>
          <w:lang w:val="en-GB"/>
        </w:rPr>
      </w:pPr>
      <w:r w:rsidRPr="00437808">
        <w:rPr>
          <w:lang w:val="en-GB"/>
        </w:rPr>
        <w:t>Ensure that traditional disciplines remain visible</w:t>
      </w:r>
    </w:p>
    <w:p w:rsidR="00B3717F" w:rsidRPr="00437808" w:rsidRDefault="00B3717F" w:rsidP="000740FD">
      <w:pPr>
        <w:pStyle w:val="ListParagraph"/>
        <w:numPr>
          <w:ilvl w:val="0"/>
          <w:numId w:val="10"/>
        </w:numPr>
        <w:spacing w:after="120" w:line="240" w:lineRule="auto"/>
        <w:rPr>
          <w:lang w:val="en-GB"/>
        </w:rPr>
      </w:pPr>
      <w:r w:rsidRPr="00437808">
        <w:rPr>
          <w:lang w:val="en-GB"/>
        </w:rPr>
        <w:t>Review the Faculty structure</w:t>
      </w:r>
    </w:p>
    <w:p w:rsidR="00B3717F" w:rsidRPr="00437808" w:rsidRDefault="00B3717F" w:rsidP="000740FD">
      <w:pPr>
        <w:pStyle w:val="ListParagraph"/>
        <w:numPr>
          <w:ilvl w:val="0"/>
          <w:numId w:val="10"/>
        </w:numPr>
        <w:spacing w:after="120" w:line="240" w:lineRule="auto"/>
        <w:rPr>
          <w:lang w:val="en-GB"/>
        </w:rPr>
      </w:pPr>
      <w:r w:rsidRPr="00437808">
        <w:rPr>
          <w:lang w:val="en-GB"/>
        </w:rPr>
        <w:t>Improve the way we share services</w:t>
      </w:r>
    </w:p>
    <w:p w:rsidR="00B3717F" w:rsidRPr="00437808" w:rsidRDefault="00B3717F" w:rsidP="000740FD">
      <w:pPr>
        <w:pStyle w:val="ListParagraph"/>
        <w:numPr>
          <w:ilvl w:val="0"/>
          <w:numId w:val="10"/>
        </w:numPr>
        <w:spacing w:after="120" w:line="240" w:lineRule="auto"/>
        <w:rPr>
          <w:lang w:val="en-GB"/>
        </w:rPr>
      </w:pPr>
      <w:r w:rsidRPr="00437808">
        <w:rPr>
          <w:lang w:val="en-GB"/>
        </w:rPr>
        <w:t>Review our links with Loughborough College</w:t>
      </w:r>
    </w:p>
    <w:p w:rsidR="00B3717F" w:rsidRPr="00437808" w:rsidRDefault="00B3717F" w:rsidP="000740FD">
      <w:pPr>
        <w:spacing w:after="120" w:line="240" w:lineRule="auto"/>
        <w:rPr>
          <w:lang w:val="en-GB"/>
        </w:rPr>
      </w:pPr>
      <w:r w:rsidRPr="00437808">
        <w:rPr>
          <w:lang w:val="en-GB"/>
        </w:rPr>
        <w:t xml:space="preserve">The restructuring of the University around larger cost centres has been on the agenda for 6 years and there has been a gradual shift in this direction. This period has also been a period of significant growth for the University. The external environment is now very different and there is a much greater imperative to become more efficient and robust in our operation. </w:t>
      </w:r>
    </w:p>
    <w:p w:rsidR="00D2055C" w:rsidRPr="00437808" w:rsidRDefault="00D2055C" w:rsidP="000740FD">
      <w:pPr>
        <w:spacing w:after="120" w:line="240" w:lineRule="auto"/>
        <w:jc w:val="left"/>
        <w:rPr>
          <w:lang w:val="en-GB"/>
        </w:rPr>
      </w:pPr>
    </w:p>
    <w:p w:rsidR="00022B33" w:rsidRPr="00437808" w:rsidRDefault="00547FEB" w:rsidP="000740FD">
      <w:pPr>
        <w:spacing w:after="120" w:line="240" w:lineRule="auto"/>
        <w:rPr>
          <w:b/>
          <w:sz w:val="28"/>
          <w:lang w:val="en-GB"/>
        </w:rPr>
      </w:pPr>
      <w:r w:rsidRPr="00437808">
        <w:rPr>
          <w:b/>
          <w:sz w:val="28"/>
          <w:lang w:val="en-GB"/>
        </w:rPr>
        <w:t xml:space="preserve">Annex </w:t>
      </w:r>
      <w:r w:rsidR="00625CB0" w:rsidRPr="00437808">
        <w:rPr>
          <w:b/>
          <w:sz w:val="28"/>
          <w:lang w:val="en-GB"/>
        </w:rPr>
        <w:t>C</w:t>
      </w:r>
      <w:r w:rsidR="00571B4E" w:rsidRPr="00437808">
        <w:rPr>
          <w:b/>
          <w:sz w:val="28"/>
          <w:lang w:val="en-GB"/>
        </w:rPr>
        <w:t xml:space="preserve">: The </w:t>
      </w:r>
      <w:r w:rsidR="000C64AD" w:rsidRPr="00437808">
        <w:rPr>
          <w:b/>
          <w:sz w:val="28"/>
          <w:lang w:val="en-GB"/>
        </w:rPr>
        <w:t>ten</w:t>
      </w:r>
      <w:r w:rsidR="00571B4E" w:rsidRPr="00437808">
        <w:rPr>
          <w:b/>
          <w:sz w:val="28"/>
          <w:lang w:val="en-GB"/>
        </w:rPr>
        <w:t xml:space="preserve"> Cost Centres</w:t>
      </w:r>
    </w:p>
    <w:p w:rsidR="00A001B5" w:rsidRPr="00437808" w:rsidRDefault="00022B33" w:rsidP="000740FD">
      <w:pPr>
        <w:spacing w:after="120" w:line="240" w:lineRule="auto"/>
        <w:rPr>
          <w:lang w:val="en-GB"/>
        </w:rPr>
      </w:pPr>
      <w:r w:rsidRPr="00437808">
        <w:rPr>
          <w:lang w:val="en-GB"/>
        </w:rPr>
        <w:t>The measures of size listed are not the only ones that could be used, but they are representative of a number of different facets of the operation of an academic unit.</w:t>
      </w:r>
    </w:p>
    <w:p w:rsidR="00547FEB" w:rsidRPr="00437808" w:rsidRDefault="00A001B5" w:rsidP="000740FD">
      <w:pPr>
        <w:spacing w:after="120" w:line="240" w:lineRule="auto"/>
        <w:rPr>
          <w:lang w:val="en-GB"/>
        </w:rPr>
      </w:pPr>
      <w:r w:rsidRPr="00437808">
        <w:rPr>
          <w:lang w:val="en-GB"/>
        </w:rPr>
        <w:t>The particular groupings that we recommend are not the same as the ones listed in our interim report, but have been modified in the light of the feedback received through consultation.</w:t>
      </w:r>
    </w:p>
    <w:tbl>
      <w:tblPr>
        <w:tblpPr w:leftFromText="180" w:rightFromText="180" w:vertAnchor="text" w:tblpY="1"/>
        <w:tblOverlap w:val="never"/>
        <w:tblW w:w="9393" w:type="dxa"/>
        <w:tblLayout w:type="fixed"/>
        <w:tblLook w:val="00BF"/>
      </w:tblPr>
      <w:tblGrid>
        <w:gridCol w:w="2943"/>
        <w:gridCol w:w="709"/>
        <w:gridCol w:w="851"/>
        <w:gridCol w:w="2126"/>
        <w:gridCol w:w="850"/>
        <w:gridCol w:w="1914"/>
      </w:tblGrid>
      <w:tr w:rsidR="00547FEB" w:rsidRPr="00437808">
        <w:tc>
          <w:tcPr>
            <w:tcW w:w="2943" w:type="dxa"/>
          </w:tcPr>
          <w:p w:rsidR="00547FEB" w:rsidRPr="00437808" w:rsidRDefault="00547FEB" w:rsidP="000740FD">
            <w:pPr>
              <w:spacing w:before="60" w:after="120" w:line="240" w:lineRule="auto"/>
              <w:rPr>
                <w:rFonts w:asciiTheme="minorHAnsi" w:hAnsiTheme="minorHAnsi"/>
                <w:b/>
                <w:sz w:val="22"/>
              </w:rPr>
            </w:pPr>
          </w:p>
        </w:tc>
        <w:tc>
          <w:tcPr>
            <w:tcW w:w="709" w:type="dxa"/>
          </w:tcPr>
          <w:p w:rsidR="00547FEB" w:rsidRPr="00437808" w:rsidRDefault="00547FEB" w:rsidP="000740FD">
            <w:pPr>
              <w:spacing w:before="60" w:after="120" w:line="240" w:lineRule="auto"/>
              <w:jc w:val="center"/>
              <w:rPr>
                <w:rFonts w:asciiTheme="minorHAnsi" w:hAnsiTheme="minorHAnsi"/>
                <w:b/>
                <w:sz w:val="22"/>
              </w:rPr>
            </w:pPr>
            <w:r w:rsidRPr="00437808">
              <w:rPr>
                <w:rFonts w:asciiTheme="minorHAnsi" w:hAnsiTheme="minorHAnsi"/>
                <w:b/>
                <w:sz w:val="22"/>
              </w:rPr>
              <w:t>R&amp;T staff</w:t>
            </w:r>
          </w:p>
        </w:tc>
        <w:tc>
          <w:tcPr>
            <w:tcW w:w="851" w:type="dxa"/>
          </w:tcPr>
          <w:p w:rsidR="00547FEB" w:rsidRPr="00437808" w:rsidRDefault="00547FEB" w:rsidP="000740FD">
            <w:pPr>
              <w:spacing w:before="60" w:after="120" w:line="240" w:lineRule="auto"/>
              <w:jc w:val="center"/>
              <w:rPr>
                <w:rFonts w:asciiTheme="minorHAnsi" w:hAnsiTheme="minorHAnsi"/>
                <w:b/>
                <w:sz w:val="22"/>
              </w:rPr>
            </w:pPr>
            <w:r w:rsidRPr="00437808">
              <w:rPr>
                <w:rFonts w:asciiTheme="minorHAnsi" w:hAnsiTheme="minorHAnsi"/>
                <w:b/>
                <w:sz w:val="22"/>
              </w:rPr>
              <w:t>Total staff</w:t>
            </w:r>
          </w:p>
        </w:tc>
        <w:tc>
          <w:tcPr>
            <w:tcW w:w="2126" w:type="dxa"/>
          </w:tcPr>
          <w:p w:rsidR="00547FEB" w:rsidRPr="00437808" w:rsidRDefault="00547FEB" w:rsidP="000740FD">
            <w:pPr>
              <w:spacing w:before="60" w:after="120" w:line="240" w:lineRule="auto"/>
              <w:jc w:val="center"/>
              <w:rPr>
                <w:rFonts w:asciiTheme="minorHAnsi" w:hAnsiTheme="minorHAnsi"/>
                <w:b/>
                <w:sz w:val="22"/>
              </w:rPr>
            </w:pPr>
            <w:r w:rsidRPr="00437808">
              <w:rPr>
                <w:rFonts w:asciiTheme="minorHAnsi" w:hAnsiTheme="minorHAnsi"/>
                <w:b/>
                <w:sz w:val="22"/>
              </w:rPr>
              <w:t xml:space="preserve"> Student</w:t>
            </w:r>
            <w:r w:rsidR="00D2055C" w:rsidRPr="00437808">
              <w:rPr>
                <w:rFonts w:asciiTheme="minorHAnsi" w:hAnsiTheme="minorHAnsi"/>
                <w:b/>
                <w:sz w:val="22"/>
              </w:rPr>
              <w:t xml:space="preserve"> Load</w:t>
            </w:r>
            <w:r w:rsidRPr="00437808">
              <w:rPr>
                <w:rFonts w:asciiTheme="minorHAnsi" w:hAnsiTheme="minorHAnsi"/>
                <w:b/>
                <w:sz w:val="22"/>
              </w:rPr>
              <w:t xml:space="preserve"> 09-10  (UG, PGT &amp; PGR)</w:t>
            </w:r>
          </w:p>
        </w:tc>
        <w:tc>
          <w:tcPr>
            <w:tcW w:w="850" w:type="dxa"/>
          </w:tcPr>
          <w:p w:rsidR="00547FEB" w:rsidRPr="00437808" w:rsidRDefault="00547FEB" w:rsidP="000740FD">
            <w:pPr>
              <w:spacing w:before="60" w:after="120" w:line="240" w:lineRule="auto"/>
              <w:jc w:val="center"/>
              <w:rPr>
                <w:rFonts w:asciiTheme="minorHAnsi" w:hAnsiTheme="minorHAnsi"/>
                <w:b/>
                <w:sz w:val="22"/>
              </w:rPr>
            </w:pPr>
            <w:r w:rsidRPr="00437808">
              <w:rPr>
                <w:rFonts w:asciiTheme="minorHAnsi" w:hAnsiTheme="minorHAnsi"/>
                <w:b/>
                <w:sz w:val="22"/>
              </w:rPr>
              <w:t>Space (m</w:t>
            </w:r>
            <w:r w:rsidRPr="00437808">
              <w:rPr>
                <w:rFonts w:asciiTheme="minorHAnsi" w:hAnsiTheme="minorHAnsi"/>
                <w:b/>
                <w:sz w:val="22"/>
                <w:vertAlign w:val="superscript"/>
              </w:rPr>
              <w:t>2</w:t>
            </w:r>
            <w:r w:rsidRPr="00437808">
              <w:rPr>
                <w:rFonts w:asciiTheme="minorHAnsi" w:hAnsiTheme="minorHAnsi"/>
                <w:b/>
                <w:sz w:val="22"/>
              </w:rPr>
              <w:t>)</w:t>
            </w:r>
          </w:p>
        </w:tc>
        <w:tc>
          <w:tcPr>
            <w:tcW w:w="1914" w:type="dxa"/>
          </w:tcPr>
          <w:p w:rsidR="00547FEB" w:rsidRPr="00437808" w:rsidRDefault="00547FEB" w:rsidP="000740FD">
            <w:pPr>
              <w:spacing w:before="60" w:after="120" w:line="240" w:lineRule="auto"/>
              <w:jc w:val="center"/>
              <w:rPr>
                <w:rFonts w:asciiTheme="minorHAnsi" w:hAnsiTheme="minorHAnsi"/>
                <w:b/>
                <w:sz w:val="22"/>
              </w:rPr>
            </w:pPr>
            <w:r w:rsidRPr="00437808">
              <w:rPr>
                <w:rFonts w:asciiTheme="minorHAnsi" w:hAnsiTheme="minorHAnsi"/>
                <w:b/>
                <w:sz w:val="22"/>
              </w:rPr>
              <w:t>Total Income (2009/10)</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 xml:space="preserve">School comprising the departments of </w:t>
            </w:r>
            <w:r w:rsidRPr="00437808">
              <w:rPr>
                <w:rFonts w:asciiTheme="minorHAnsi" w:hAnsiTheme="minorHAnsi"/>
                <w:b/>
                <w:bCs/>
                <w:sz w:val="22"/>
              </w:rPr>
              <w:t>Aeronautical &amp; Automotive Engineering, Chemical Engineering and Materials</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58</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178</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1330</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12115</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£20.9M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comprising the School of Arts and the Department of English &amp; Drama</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59</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95</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1586</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11649</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£10.6M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of Business &amp; Economics</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86</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156</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2599</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3602</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£20.4M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comprising the departments of Chemistry, Computer Science, Information Science, Physics and the School of Mathematics</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117</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231</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2151</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10484</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£24.7M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of Civil &amp; Building Engineering</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58</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144</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1039</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5811</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£16.1M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Loughborough Design School</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32</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99</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676</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5813</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£11.3M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of Electronic, Electrical &amp; Systems Engineering</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36</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106</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595</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6197</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£10.5M</w:t>
            </w:r>
          </w:p>
        </w:tc>
      </w:tr>
      <w:tr w:rsidR="007E6D5C" w:rsidRPr="00437808">
        <w:tc>
          <w:tcPr>
            <w:tcW w:w="2943" w:type="dxa"/>
          </w:tcPr>
          <w:p w:rsidR="007E6D5C" w:rsidRPr="00437808" w:rsidRDefault="007E6D5C" w:rsidP="00DE6C23">
            <w:pPr>
              <w:spacing w:before="60" w:after="120" w:line="240" w:lineRule="auto"/>
              <w:jc w:val="left"/>
              <w:rPr>
                <w:rFonts w:asciiTheme="minorHAnsi" w:hAnsiTheme="minorHAnsi"/>
                <w:b/>
                <w:sz w:val="22"/>
              </w:rPr>
            </w:pPr>
            <w:r w:rsidRPr="00437808">
              <w:rPr>
                <w:rFonts w:asciiTheme="minorHAnsi" w:hAnsiTheme="minorHAnsi"/>
                <w:b/>
                <w:sz w:val="22"/>
              </w:rPr>
              <w:t>School comprising the departments of Geography, PHIR &amp; Social Sciences</w:t>
            </w:r>
          </w:p>
        </w:tc>
        <w:tc>
          <w:tcPr>
            <w:tcW w:w="709"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83</w:t>
            </w:r>
          </w:p>
        </w:tc>
        <w:tc>
          <w:tcPr>
            <w:tcW w:w="851"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147</w:t>
            </w:r>
          </w:p>
        </w:tc>
        <w:tc>
          <w:tcPr>
            <w:tcW w:w="2126"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1658</w:t>
            </w:r>
          </w:p>
        </w:tc>
        <w:tc>
          <w:tcPr>
            <w:tcW w:w="850"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5333</w:t>
            </w:r>
          </w:p>
        </w:tc>
        <w:tc>
          <w:tcPr>
            <w:tcW w:w="1914" w:type="dxa"/>
          </w:tcPr>
          <w:p w:rsidR="007E6D5C" w:rsidRPr="00437808" w:rsidRDefault="007E6D5C" w:rsidP="00DE6C23">
            <w:pPr>
              <w:spacing w:before="60" w:after="120" w:line="240" w:lineRule="auto"/>
              <w:jc w:val="center"/>
              <w:rPr>
                <w:rFonts w:asciiTheme="minorHAnsi" w:hAnsiTheme="minorHAnsi"/>
                <w:sz w:val="22"/>
              </w:rPr>
            </w:pPr>
            <w:r w:rsidRPr="00437808">
              <w:rPr>
                <w:rFonts w:asciiTheme="minorHAnsi" w:hAnsiTheme="minorHAnsi"/>
                <w:sz w:val="22"/>
              </w:rPr>
              <w:t>£14.3M</w:t>
            </w:r>
          </w:p>
        </w:tc>
      </w:tr>
    </w:tbl>
    <w:tbl>
      <w:tblPr>
        <w:tblW w:w="9393" w:type="dxa"/>
        <w:tblLayout w:type="fixed"/>
        <w:tblLook w:val="00BF"/>
      </w:tblPr>
      <w:tblGrid>
        <w:gridCol w:w="2943"/>
        <w:gridCol w:w="709"/>
        <w:gridCol w:w="851"/>
        <w:gridCol w:w="2126"/>
        <w:gridCol w:w="850"/>
        <w:gridCol w:w="1914"/>
      </w:tblGrid>
      <w:tr w:rsidR="00D927C6" w:rsidRPr="00437808">
        <w:tc>
          <w:tcPr>
            <w:tcW w:w="2943" w:type="dxa"/>
          </w:tcPr>
          <w:p w:rsidR="00D927C6" w:rsidRPr="00437808" w:rsidRDefault="00D927C6" w:rsidP="00DE6C23">
            <w:pPr>
              <w:spacing w:before="60" w:after="120" w:line="240" w:lineRule="auto"/>
              <w:jc w:val="left"/>
              <w:rPr>
                <w:rFonts w:asciiTheme="minorHAnsi" w:hAnsiTheme="minorHAnsi"/>
                <w:b/>
                <w:sz w:val="22"/>
              </w:rPr>
            </w:pPr>
            <w:r w:rsidRPr="00437808">
              <w:rPr>
                <w:rFonts w:asciiTheme="minorHAnsi" w:hAnsiTheme="minorHAnsi"/>
                <w:b/>
                <w:sz w:val="22"/>
              </w:rPr>
              <w:t>Wolfson School of Mechanical &amp; Manufacturing Engineering</w:t>
            </w:r>
          </w:p>
        </w:tc>
        <w:tc>
          <w:tcPr>
            <w:tcW w:w="709" w:type="dxa"/>
          </w:tcPr>
          <w:p w:rsidR="00D927C6" w:rsidRPr="00437808" w:rsidRDefault="00D927C6" w:rsidP="00DE6C23">
            <w:pPr>
              <w:spacing w:before="60" w:after="120" w:line="240" w:lineRule="auto"/>
              <w:jc w:val="center"/>
              <w:rPr>
                <w:rFonts w:asciiTheme="minorHAnsi" w:hAnsiTheme="minorHAnsi"/>
                <w:sz w:val="22"/>
              </w:rPr>
            </w:pPr>
            <w:r w:rsidRPr="00437808">
              <w:rPr>
                <w:rFonts w:asciiTheme="minorHAnsi" w:hAnsiTheme="minorHAnsi"/>
                <w:sz w:val="22"/>
              </w:rPr>
              <w:t>61</w:t>
            </w:r>
          </w:p>
        </w:tc>
        <w:tc>
          <w:tcPr>
            <w:tcW w:w="851" w:type="dxa"/>
          </w:tcPr>
          <w:p w:rsidR="00D927C6" w:rsidRPr="00437808" w:rsidRDefault="00D927C6" w:rsidP="00DE6C23">
            <w:pPr>
              <w:spacing w:before="60" w:after="120" w:line="240" w:lineRule="auto"/>
              <w:jc w:val="center"/>
              <w:rPr>
                <w:rFonts w:asciiTheme="minorHAnsi" w:hAnsiTheme="minorHAnsi"/>
                <w:sz w:val="22"/>
              </w:rPr>
            </w:pPr>
            <w:r w:rsidRPr="00437808">
              <w:rPr>
                <w:rFonts w:asciiTheme="minorHAnsi" w:hAnsiTheme="minorHAnsi"/>
                <w:sz w:val="22"/>
              </w:rPr>
              <w:t>203</w:t>
            </w:r>
          </w:p>
        </w:tc>
        <w:tc>
          <w:tcPr>
            <w:tcW w:w="2126" w:type="dxa"/>
          </w:tcPr>
          <w:p w:rsidR="00D927C6" w:rsidRPr="00437808" w:rsidRDefault="00D927C6" w:rsidP="00DE6C23">
            <w:pPr>
              <w:spacing w:before="60" w:after="120" w:line="240" w:lineRule="auto"/>
              <w:jc w:val="center"/>
              <w:rPr>
                <w:rFonts w:asciiTheme="minorHAnsi" w:hAnsiTheme="minorHAnsi"/>
                <w:sz w:val="22"/>
              </w:rPr>
            </w:pPr>
            <w:r w:rsidRPr="00437808">
              <w:rPr>
                <w:rFonts w:asciiTheme="minorHAnsi" w:hAnsiTheme="minorHAnsi"/>
                <w:sz w:val="22"/>
              </w:rPr>
              <w:t>911</w:t>
            </w:r>
          </w:p>
        </w:tc>
        <w:tc>
          <w:tcPr>
            <w:tcW w:w="850" w:type="dxa"/>
          </w:tcPr>
          <w:p w:rsidR="00D927C6" w:rsidRPr="00437808" w:rsidRDefault="00D927C6" w:rsidP="00DE6C23">
            <w:pPr>
              <w:spacing w:before="60" w:after="120" w:line="240" w:lineRule="auto"/>
              <w:jc w:val="center"/>
              <w:rPr>
                <w:rFonts w:asciiTheme="minorHAnsi" w:hAnsiTheme="minorHAnsi"/>
                <w:sz w:val="22"/>
              </w:rPr>
            </w:pPr>
            <w:r w:rsidRPr="00437808">
              <w:rPr>
                <w:rFonts w:asciiTheme="minorHAnsi" w:hAnsiTheme="minorHAnsi"/>
                <w:sz w:val="22"/>
              </w:rPr>
              <w:t>8241</w:t>
            </w:r>
          </w:p>
        </w:tc>
        <w:tc>
          <w:tcPr>
            <w:tcW w:w="1914" w:type="dxa"/>
          </w:tcPr>
          <w:p w:rsidR="00D927C6" w:rsidRPr="00437808" w:rsidRDefault="00D927C6" w:rsidP="00DE6C23">
            <w:pPr>
              <w:spacing w:before="60" w:after="120" w:line="240" w:lineRule="auto"/>
              <w:jc w:val="center"/>
              <w:rPr>
                <w:rFonts w:asciiTheme="minorHAnsi" w:hAnsiTheme="minorHAnsi"/>
                <w:sz w:val="22"/>
              </w:rPr>
            </w:pPr>
            <w:r w:rsidRPr="00437808">
              <w:rPr>
                <w:rFonts w:asciiTheme="minorHAnsi" w:hAnsiTheme="minorHAnsi"/>
                <w:sz w:val="22"/>
              </w:rPr>
              <w:t>£17.3M</w:t>
            </w:r>
          </w:p>
        </w:tc>
      </w:tr>
    </w:tbl>
    <w:tbl>
      <w:tblPr>
        <w:tblpPr w:leftFromText="180" w:rightFromText="180" w:vertAnchor="text" w:tblpY="1"/>
        <w:tblOverlap w:val="never"/>
        <w:tblW w:w="9393" w:type="dxa"/>
        <w:tblLayout w:type="fixed"/>
        <w:tblLook w:val="00BF"/>
      </w:tblPr>
      <w:tblGrid>
        <w:gridCol w:w="2943"/>
        <w:gridCol w:w="709"/>
        <w:gridCol w:w="851"/>
        <w:gridCol w:w="2126"/>
        <w:gridCol w:w="850"/>
        <w:gridCol w:w="1914"/>
      </w:tblGrid>
      <w:tr w:rsidR="00547FEB" w:rsidRPr="00437808">
        <w:tc>
          <w:tcPr>
            <w:tcW w:w="2943" w:type="dxa"/>
          </w:tcPr>
          <w:p w:rsidR="00547FEB" w:rsidRPr="00437808" w:rsidRDefault="00547FEB" w:rsidP="00DE6C23">
            <w:pPr>
              <w:spacing w:before="60" w:after="120" w:line="240" w:lineRule="auto"/>
              <w:jc w:val="left"/>
              <w:rPr>
                <w:rFonts w:asciiTheme="minorHAnsi" w:hAnsiTheme="minorHAnsi"/>
                <w:b/>
                <w:sz w:val="22"/>
              </w:rPr>
            </w:pPr>
            <w:r w:rsidRPr="00437808">
              <w:rPr>
                <w:rFonts w:asciiTheme="minorHAnsi" w:hAnsiTheme="minorHAnsi"/>
                <w:b/>
                <w:sz w:val="22"/>
              </w:rPr>
              <w:t>School of Sports Exercise &amp; Health Sciences</w:t>
            </w:r>
          </w:p>
        </w:tc>
        <w:tc>
          <w:tcPr>
            <w:tcW w:w="709" w:type="dxa"/>
          </w:tcPr>
          <w:p w:rsidR="00547FEB" w:rsidRPr="00437808" w:rsidRDefault="00547FEB" w:rsidP="00DE6C23">
            <w:pPr>
              <w:spacing w:before="60" w:after="120" w:line="240" w:lineRule="auto"/>
              <w:jc w:val="center"/>
              <w:rPr>
                <w:rFonts w:asciiTheme="minorHAnsi" w:hAnsiTheme="minorHAnsi"/>
                <w:sz w:val="22"/>
              </w:rPr>
            </w:pPr>
            <w:r w:rsidRPr="00437808">
              <w:rPr>
                <w:rFonts w:asciiTheme="minorHAnsi" w:hAnsiTheme="minorHAnsi"/>
                <w:sz w:val="22"/>
              </w:rPr>
              <w:t>69</w:t>
            </w:r>
          </w:p>
        </w:tc>
        <w:tc>
          <w:tcPr>
            <w:tcW w:w="851" w:type="dxa"/>
          </w:tcPr>
          <w:p w:rsidR="00547FEB" w:rsidRPr="00437808" w:rsidRDefault="00547FEB" w:rsidP="00DE6C23">
            <w:pPr>
              <w:spacing w:before="60" w:after="120" w:line="240" w:lineRule="auto"/>
              <w:jc w:val="center"/>
              <w:rPr>
                <w:rFonts w:asciiTheme="minorHAnsi" w:hAnsiTheme="minorHAnsi"/>
                <w:sz w:val="22"/>
              </w:rPr>
            </w:pPr>
            <w:r w:rsidRPr="00437808">
              <w:rPr>
                <w:rFonts w:asciiTheme="minorHAnsi" w:hAnsiTheme="minorHAnsi"/>
                <w:sz w:val="22"/>
              </w:rPr>
              <w:t>144</w:t>
            </w:r>
          </w:p>
        </w:tc>
        <w:tc>
          <w:tcPr>
            <w:tcW w:w="2126" w:type="dxa"/>
          </w:tcPr>
          <w:p w:rsidR="00547FEB" w:rsidRPr="00437808" w:rsidRDefault="00547FEB" w:rsidP="00DE6C23">
            <w:pPr>
              <w:spacing w:before="60" w:after="120" w:line="240" w:lineRule="auto"/>
              <w:jc w:val="center"/>
              <w:rPr>
                <w:rFonts w:asciiTheme="minorHAnsi" w:hAnsiTheme="minorHAnsi"/>
                <w:sz w:val="22"/>
              </w:rPr>
            </w:pPr>
            <w:r w:rsidRPr="00437808">
              <w:rPr>
                <w:rFonts w:asciiTheme="minorHAnsi" w:hAnsiTheme="minorHAnsi"/>
                <w:sz w:val="22"/>
              </w:rPr>
              <w:t>1497</w:t>
            </w:r>
          </w:p>
        </w:tc>
        <w:tc>
          <w:tcPr>
            <w:tcW w:w="850" w:type="dxa"/>
          </w:tcPr>
          <w:p w:rsidR="00547FEB" w:rsidRPr="00437808" w:rsidRDefault="00547FEB" w:rsidP="00DE6C23">
            <w:pPr>
              <w:spacing w:before="60" w:after="120" w:line="240" w:lineRule="auto"/>
              <w:jc w:val="center"/>
              <w:rPr>
                <w:rFonts w:asciiTheme="minorHAnsi" w:hAnsiTheme="minorHAnsi"/>
                <w:sz w:val="22"/>
              </w:rPr>
            </w:pPr>
            <w:r w:rsidRPr="00437808">
              <w:rPr>
                <w:rFonts w:asciiTheme="minorHAnsi" w:hAnsiTheme="minorHAnsi"/>
                <w:sz w:val="22"/>
              </w:rPr>
              <w:t>6599</w:t>
            </w:r>
          </w:p>
        </w:tc>
        <w:tc>
          <w:tcPr>
            <w:tcW w:w="1914" w:type="dxa"/>
          </w:tcPr>
          <w:p w:rsidR="00547FEB" w:rsidRPr="00437808" w:rsidRDefault="00547FEB" w:rsidP="00DE6C23">
            <w:pPr>
              <w:spacing w:before="60" w:after="120" w:line="240" w:lineRule="auto"/>
              <w:jc w:val="center"/>
              <w:rPr>
                <w:rFonts w:asciiTheme="minorHAnsi" w:hAnsiTheme="minorHAnsi"/>
                <w:sz w:val="22"/>
              </w:rPr>
            </w:pPr>
            <w:r w:rsidRPr="00437808">
              <w:rPr>
                <w:rFonts w:asciiTheme="minorHAnsi" w:hAnsiTheme="minorHAnsi"/>
                <w:sz w:val="22"/>
              </w:rPr>
              <w:t>£14.5M</w:t>
            </w:r>
          </w:p>
        </w:tc>
      </w:tr>
    </w:tbl>
    <w:p w:rsidR="00F344B9" w:rsidRPr="00437808" w:rsidRDefault="00F344B9" w:rsidP="000740FD">
      <w:pPr>
        <w:spacing w:after="120" w:line="240" w:lineRule="auto"/>
        <w:rPr>
          <w:b/>
          <w:sz w:val="28"/>
          <w:lang w:val="en-GB"/>
        </w:rPr>
      </w:pPr>
    </w:p>
    <w:p w:rsidR="00C3101B" w:rsidRPr="00437808" w:rsidRDefault="00C3101B" w:rsidP="000740FD">
      <w:pPr>
        <w:spacing w:after="120" w:line="240" w:lineRule="auto"/>
        <w:jc w:val="left"/>
        <w:rPr>
          <w:b/>
          <w:sz w:val="28"/>
          <w:lang w:val="en-GB"/>
        </w:rPr>
      </w:pPr>
      <w:r w:rsidRPr="00437808">
        <w:rPr>
          <w:b/>
          <w:sz w:val="28"/>
          <w:lang w:val="en-GB"/>
        </w:rPr>
        <w:br w:type="page"/>
      </w:r>
    </w:p>
    <w:p w:rsidR="000F261C" w:rsidRPr="00437808" w:rsidRDefault="000F261C" w:rsidP="000740FD">
      <w:pPr>
        <w:spacing w:after="120" w:line="240" w:lineRule="auto"/>
        <w:rPr>
          <w:b/>
          <w:sz w:val="28"/>
          <w:lang w:val="en-GB"/>
        </w:rPr>
      </w:pPr>
      <w:r w:rsidRPr="00437808">
        <w:rPr>
          <w:b/>
          <w:sz w:val="28"/>
          <w:lang w:val="en-GB"/>
        </w:rPr>
        <w:lastRenderedPageBreak/>
        <w:t xml:space="preserve">Annex </w:t>
      </w:r>
      <w:r w:rsidR="00625CB0" w:rsidRPr="00437808">
        <w:rPr>
          <w:b/>
          <w:sz w:val="28"/>
          <w:lang w:val="en-GB"/>
        </w:rPr>
        <w:t>D</w:t>
      </w:r>
      <w:r w:rsidRPr="00437808">
        <w:rPr>
          <w:b/>
          <w:sz w:val="28"/>
          <w:lang w:val="en-GB"/>
        </w:rPr>
        <w:t xml:space="preserve">: </w:t>
      </w:r>
      <w:r w:rsidR="000C64AD" w:rsidRPr="00437808">
        <w:rPr>
          <w:b/>
          <w:sz w:val="28"/>
          <w:lang w:val="en-GB"/>
        </w:rPr>
        <w:t>Responsibilities</w:t>
      </w:r>
    </w:p>
    <w:p w:rsidR="000C64AD" w:rsidRPr="00437808" w:rsidRDefault="000C64AD" w:rsidP="000740FD">
      <w:pPr>
        <w:spacing w:after="120" w:line="240" w:lineRule="auto"/>
        <w:rPr>
          <w:lang w:val="en-GB"/>
        </w:rPr>
      </w:pPr>
      <w:r w:rsidRPr="00437808">
        <w:rPr>
          <w:lang w:val="en-GB"/>
        </w:rPr>
        <w:t xml:space="preserve">Responsibilities that currently lie with Faculty Deans, ADTs and ADRs need to be distributed elsewhere. The detail needs to be worked out as the Schools are implemented, but our initial thoughts are as follows. </w:t>
      </w:r>
    </w:p>
    <w:p w:rsidR="009E315C" w:rsidRPr="00437808" w:rsidRDefault="000C64AD" w:rsidP="00A861B9">
      <w:pPr>
        <w:pStyle w:val="ListParagraph"/>
        <w:numPr>
          <w:ilvl w:val="0"/>
          <w:numId w:val="26"/>
        </w:numPr>
        <w:spacing w:after="120" w:line="240" w:lineRule="auto"/>
        <w:rPr>
          <w:lang w:val="en-GB"/>
        </w:rPr>
      </w:pPr>
      <w:r w:rsidRPr="00437808">
        <w:rPr>
          <w:lang w:val="en-GB"/>
        </w:rPr>
        <w:t>Deans of School to chair a</w:t>
      </w:r>
      <w:r w:rsidR="009E315C" w:rsidRPr="00437808">
        <w:rPr>
          <w:lang w:val="en-GB"/>
        </w:rPr>
        <w:t>ppointment panels</w:t>
      </w:r>
      <w:r w:rsidR="000E0DE5" w:rsidRPr="00437808">
        <w:rPr>
          <w:lang w:val="en-GB"/>
        </w:rPr>
        <w:t xml:space="preserve"> within their own Schools. </w:t>
      </w:r>
      <w:r w:rsidR="009E315C" w:rsidRPr="00437808">
        <w:rPr>
          <w:lang w:val="en-GB"/>
        </w:rPr>
        <w:t>Reader</w:t>
      </w:r>
      <w:r w:rsidR="000E0DE5" w:rsidRPr="00437808">
        <w:rPr>
          <w:lang w:val="en-GB"/>
        </w:rPr>
        <w:t>ships</w:t>
      </w:r>
      <w:r w:rsidR="009E315C" w:rsidRPr="00437808">
        <w:rPr>
          <w:lang w:val="en-GB"/>
        </w:rPr>
        <w:t xml:space="preserve"> and Professor</w:t>
      </w:r>
      <w:r w:rsidR="000E0DE5" w:rsidRPr="00437808">
        <w:rPr>
          <w:lang w:val="en-GB"/>
        </w:rPr>
        <w:t xml:space="preserve">ships to be dealt with as </w:t>
      </w:r>
      <w:r w:rsidR="00A101DB" w:rsidRPr="00437808">
        <w:rPr>
          <w:lang w:val="en-GB"/>
        </w:rPr>
        <w:t>now</w:t>
      </w:r>
      <w:r w:rsidR="000E0DE5" w:rsidRPr="00437808">
        <w:rPr>
          <w:lang w:val="en-GB"/>
        </w:rPr>
        <w:t>, with the Dean of School playing the role that the current Faculty Dean does.</w:t>
      </w:r>
    </w:p>
    <w:p w:rsidR="009E315C" w:rsidRPr="00437808" w:rsidRDefault="009E315C" w:rsidP="00A861B9">
      <w:pPr>
        <w:pStyle w:val="ListParagraph"/>
        <w:numPr>
          <w:ilvl w:val="0"/>
          <w:numId w:val="26"/>
        </w:numPr>
        <w:spacing w:after="120" w:line="240" w:lineRule="auto"/>
        <w:rPr>
          <w:lang w:val="en-GB"/>
        </w:rPr>
      </w:pPr>
      <w:r w:rsidRPr="00437808">
        <w:rPr>
          <w:lang w:val="en-GB"/>
        </w:rPr>
        <w:t xml:space="preserve">Academic Leadership </w:t>
      </w:r>
      <w:r w:rsidR="00230BD0" w:rsidRPr="00437808">
        <w:rPr>
          <w:lang w:val="en-GB"/>
        </w:rPr>
        <w:t>Team</w:t>
      </w:r>
      <w:r w:rsidR="00E61891" w:rsidRPr="00437808">
        <w:rPr>
          <w:lang w:val="en-GB"/>
        </w:rPr>
        <w:t xml:space="preserve"> to handle SL promotions.</w:t>
      </w:r>
    </w:p>
    <w:p w:rsidR="009E315C" w:rsidRPr="00437808" w:rsidRDefault="009E315C" w:rsidP="00A861B9">
      <w:pPr>
        <w:pStyle w:val="ListParagraph"/>
        <w:numPr>
          <w:ilvl w:val="0"/>
          <w:numId w:val="26"/>
        </w:numPr>
        <w:spacing w:after="120" w:line="240" w:lineRule="auto"/>
        <w:rPr>
          <w:lang w:val="en-GB"/>
        </w:rPr>
      </w:pPr>
      <w:r w:rsidRPr="00437808">
        <w:rPr>
          <w:lang w:val="en-GB"/>
        </w:rPr>
        <w:t>Reward Review for lump sums, accelerated increments, discretionary points to be handled by School SMGs.</w:t>
      </w:r>
    </w:p>
    <w:p w:rsidR="00F6411A" w:rsidRPr="00437808" w:rsidRDefault="009E315C" w:rsidP="00A861B9">
      <w:pPr>
        <w:pStyle w:val="ListParagraph"/>
        <w:numPr>
          <w:ilvl w:val="0"/>
          <w:numId w:val="26"/>
        </w:numPr>
        <w:spacing w:after="120" w:line="240" w:lineRule="auto"/>
        <w:rPr>
          <w:lang w:val="en-GB"/>
        </w:rPr>
      </w:pPr>
      <w:r w:rsidRPr="00437808">
        <w:rPr>
          <w:lang w:val="en-GB"/>
        </w:rPr>
        <w:t xml:space="preserve">Deans of School to </w:t>
      </w:r>
      <w:r w:rsidR="00E61891" w:rsidRPr="00437808">
        <w:rPr>
          <w:lang w:val="en-GB"/>
        </w:rPr>
        <w:t>handle</w:t>
      </w:r>
      <w:r w:rsidRPr="00437808">
        <w:rPr>
          <w:lang w:val="en-GB"/>
        </w:rPr>
        <w:t xml:space="preserve"> appeals/grievance/disciplinary issues from other Schools.</w:t>
      </w:r>
    </w:p>
    <w:p w:rsidR="00B3717F" w:rsidRPr="00437808" w:rsidRDefault="00F6411A" w:rsidP="00A861B9">
      <w:pPr>
        <w:pStyle w:val="ListParagraph"/>
        <w:numPr>
          <w:ilvl w:val="0"/>
          <w:numId w:val="26"/>
        </w:numPr>
        <w:spacing w:after="120" w:line="240" w:lineRule="auto"/>
        <w:rPr>
          <w:lang w:val="en-GB"/>
        </w:rPr>
      </w:pPr>
      <w:r w:rsidRPr="00437808">
        <w:rPr>
          <w:lang w:val="en-GB"/>
        </w:rPr>
        <w:t>Deans and Associate Deans</w:t>
      </w:r>
      <w:r w:rsidR="00A101DB" w:rsidRPr="00437808">
        <w:rPr>
          <w:lang w:val="en-GB"/>
        </w:rPr>
        <w:t>, in conjunction with PVCR,</w:t>
      </w:r>
      <w:r w:rsidRPr="00437808">
        <w:rPr>
          <w:lang w:val="en-GB"/>
        </w:rPr>
        <w:t xml:space="preserve"> to handle probation monitoring within Schools.</w:t>
      </w:r>
    </w:p>
    <w:p w:rsidR="009E315C" w:rsidRPr="00437808" w:rsidRDefault="00B3717F" w:rsidP="00A861B9">
      <w:pPr>
        <w:pStyle w:val="ListParagraph"/>
        <w:numPr>
          <w:ilvl w:val="0"/>
          <w:numId w:val="26"/>
        </w:numPr>
        <w:spacing w:after="120" w:line="240" w:lineRule="auto"/>
        <w:rPr>
          <w:lang w:val="en-GB"/>
        </w:rPr>
      </w:pPr>
      <w:r w:rsidRPr="00437808">
        <w:rPr>
          <w:lang w:val="en-GB"/>
        </w:rPr>
        <w:t>Deans of School to share committee burden currently held by Faculty Deans.</w:t>
      </w:r>
    </w:p>
    <w:p w:rsidR="00516CF4" w:rsidRPr="00437808" w:rsidRDefault="00516CF4" w:rsidP="00A861B9">
      <w:pPr>
        <w:pStyle w:val="ListParagraph"/>
        <w:numPr>
          <w:ilvl w:val="0"/>
          <w:numId w:val="26"/>
        </w:numPr>
        <w:spacing w:after="120" w:line="240" w:lineRule="auto"/>
        <w:rPr>
          <w:lang w:val="en-GB"/>
        </w:rPr>
      </w:pPr>
      <w:r w:rsidRPr="00437808">
        <w:rPr>
          <w:lang w:val="en-GB"/>
        </w:rPr>
        <w:t xml:space="preserve">Annual Programme Reviews for each School </w:t>
      </w:r>
      <w:r w:rsidR="003C439C" w:rsidRPr="00437808">
        <w:rPr>
          <w:lang w:val="en-GB"/>
        </w:rPr>
        <w:t xml:space="preserve">to be </w:t>
      </w:r>
      <w:r w:rsidRPr="00437808">
        <w:rPr>
          <w:lang w:val="en-GB"/>
        </w:rPr>
        <w:t>chaired by</w:t>
      </w:r>
      <w:r w:rsidR="003C439C" w:rsidRPr="00437808">
        <w:rPr>
          <w:lang w:val="en-GB"/>
        </w:rPr>
        <w:t xml:space="preserve"> an ADT from a different School</w:t>
      </w:r>
      <w:r w:rsidRPr="00437808">
        <w:rPr>
          <w:lang w:val="en-GB"/>
        </w:rPr>
        <w:t>.</w:t>
      </w:r>
    </w:p>
    <w:p w:rsidR="00516CF4" w:rsidRPr="00437808" w:rsidRDefault="00516CF4" w:rsidP="00A861B9">
      <w:pPr>
        <w:pStyle w:val="ListParagraph"/>
        <w:numPr>
          <w:ilvl w:val="0"/>
          <w:numId w:val="26"/>
        </w:numPr>
        <w:spacing w:after="120" w:line="240" w:lineRule="auto"/>
        <w:rPr>
          <w:lang w:val="en-GB"/>
        </w:rPr>
      </w:pPr>
      <w:r w:rsidRPr="00437808">
        <w:rPr>
          <w:lang w:val="en-GB"/>
        </w:rPr>
        <w:t>Two Scho</w:t>
      </w:r>
      <w:r w:rsidR="003C439C" w:rsidRPr="00437808">
        <w:rPr>
          <w:lang w:val="en-GB"/>
        </w:rPr>
        <w:t xml:space="preserve">ols to undertake PPR each year, </w:t>
      </w:r>
      <w:r w:rsidRPr="00437808">
        <w:rPr>
          <w:lang w:val="en-GB"/>
        </w:rPr>
        <w:t>chaired by PVCT, supported by an indepe</w:t>
      </w:r>
      <w:r w:rsidR="003C439C" w:rsidRPr="00437808">
        <w:rPr>
          <w:lang w:val="en-GB"/>
        </w:rPr>
        <w:t>ndent ADT</w:t>
      </w:r>
      <w:r w:rsidRPr="00437808">
        <w:rPr>
          <w:lang w:val="en-GB"/>
        </w:rPr>
        <w:t>.</w:t>
      </w:r>
    </w:p>
    <w:p w:rsidR="000F261C" w:rsidRPr="00437808" w:rsidRDefault="00516CF4" w:rsidP="00A861B9">
      <w:pPr>
        <w:pStyle w:val="ListParagraph"/>
        <w:numPr>
          <w:ilvl w:val="0"/>
          <w:numId w:val="26"/>
        </w:numPr>
        <w:spacing w:after="120" w:line="240" w:lineRule="auto"/>
        <w:rPr>
          <w:lang w:val="en-GB"/>
        </w:rPr>
      </w:pPr>
      <w:r w:rsidRPr="00437808">
        <w:rPr>
          <w:lang w:val="en-GB"/>
        </w:rPr>
        <w:t>School ADTs to share the committee burden currently held by Faculty ADTs.</w:t>
      </w:r>
    </w:p>
    <w:p w:rsidR="00AE3D13" w:rsidRPr="00437808" w:rsidRDefault="00AE3D13" w:rsidP="00A861B9">
      <w:pPr>
        <w:pStyle w:val="ListParagraph"/>
        <w:numPr>
          <w:ilvl w:val="0"/>
          <w:numId w:val="26"/>
        </w:numPr>
        <w:spacing w:after="120" w:line="240" w:lineRule="auto"/>
        <w:rPr>
          <w:lang w:val="en-GB"/>
        </w:rPr>
      </w:pPr>
      <w:proofErr w:type="gramStart"/>
      <w:r w:rsidRPr="00437808">
        <w:rPr>
          <w:lang w:val="en-GB"/>
        </w:rPr>
        <w:t>Approval of PhD external examiners, extensions, leave</w:t>
      </w:r>
      <w:proofErr w:type="gramEnd"/>
      <w:r w:rsidRPr="00437808">
        <w:rPr>
          <w:lang w:val="en-GB"/>
        </w:rPr>
        <w:t xml:space="preserve"> of absence etc. </w:t>
      </w:r>
      <w:r w:rsidR="003C439C" w:rsidRPr="00437808">
        <w:rPr>
          <w:lang w:val="en-GB"/>
        </w:rPr>
        <w:t>to</w:t>
      </w:r>
      <w:r w:rsidRPr="00437808">
        <w:rPr>
          <w:lang w:val="en-GB"/>
        </w:rPr>
        <w:t xml:space="preserve"> be handled by School ADRs.</w:t>
      </w:r>
    </w:p>
    <w:p w:rsidR="00AE3D13" w:rsidRPr="00437808" w:rsidRDefault="00AE3D13" w:rsidP="00A861B9">
      <w:pPr>
        <w:pStyle w:val="ListParagraph"/>
        <w:numPr>
          <w:ilvl w:val="0"/>
          <w:numId w:val="26"/>
        </w:numPr>
        <w:spacing w:after="120" w:line="240" w:lineRule="auto"/>
        <w:rPr>
          <w:lang w:val="en-GB"/>
        </w:rPr>
      </w:pPr>
      <w:r w:rsidRPr="00437808">
        <w:rPr>
          <w:lang w:val="en-GB"/>
        </w:rPr>
        <w:t>School ADRs to share the burden of PGR appeals.</w:t>
      </w:r>
    </w:p>
    <w:p w:rsidR="00AC5866" w:rsidRPr="00437808" w:rsidRDefault="00AE3D13" w:rsidP="00A861B9">
      <w:pPr>
        <w:pStyle w:val="ListParagraph"/>
        <w:numPr>
          <w:ilvl w:val="0"/>
          <w:numId w:val="26"/>
        </w:numPr>
        <w:spacing w:after="120" w:line="240" w:lineRule="auto"/>
        <w:rPr>
          <w:lang w:val="en-GB"/>
        </w:rPr>
      </w:pPr>
      <w:r w:rsidRPr="00437808">
        <w:rPr>
          <w:lang w:val="en-GB"/>
        </w:rPr>
        <w:t xml:space="preserve">Periodic Programme Review of PGR </w:t>
      </w:r>
      <w:r w:rsidR="000929B1" w:rsidRPr="00437808">
        <w:rPr>
          <w:lang w:val="en-GB"/>
        </w:rPr>
        <w:t xml:space="preserve">and PGT </w:t>
      </w:r>
      <w:r w:rsidRPr="00437808">
        <w:rPr>
          <w:lang w:val="en-GB"/>
        </w:rPr>
        <w:t xml:space="preserve">programmes to be chaired by the Dean </w:t>
      </w:r>
      <w:r w:rsidR="00E61891" w:rsidRPr="00437808">
        <w:rPr>
          <w:lang w:val="en-GB"/>
        </w:rPr>
        <w:t xml:space="preserve">of </w:t>
      </w:r>
      <w:r w:rsidRPr="00437808">
        <w:rPr>
          <w:lang w:val="en-GB"/>
        </w:rPr>
        <w:t>the Graduate School, 2 per year.</w:t>
      </w:r>
    </w:p>
    <w:p w:rsidR="004B1109" w:rsidRPr="00437808" w:rsidRDefault="00AC5866" w:rsidP="00A861B9">
      <w:pPr>
        <w:pStyle w:val="ListParagraph"/>
        <w:numPr>
          <w:ilvl w:val="0"/>
          <w:numId w:val="26"/>
        </w:numPr>
        <w:spacing w:after="120" w:line="240" w:lineRule="auto"/>
        <w:rPr>
          <w:lang w:val="en-GB"/>
        </w:rPr>
      </w:pPr>
      <w:r w:rsidRPr="00437808">
        <w:rPr>
          <w:lang w:val="en-GB"/>
        </w:rPr>
        <w:t xml:space="preserve">Decisions about PGR funding priorities to be taken at </w:t>
      </w:r>
      <w:r w:rsidR="00E61891" w:rsidRPr="00437808">
        <w:rPr>
          <w:lang w:val="en-GB"/>
        </w:rPr>
        <w:t xml:space="preserve">the University </w:t>
      </w:r>
      <w:r w:rsidRPr="00437808">
        <w:rPr>
          <w:lang w:val="en-GB"/>
        </w:rPr>
        <w:t>Research Committee.</w:t>
      </w:r>
    </w:p>
    <w:p w:rsidR="00625CB0" w:rsidRPr="00437808" w:rsidRDefault="00625CB0" w:rsidP="004B1109">
      <w:pPr>
        <w:spacing w:after="120" w:line="240" w:lineRule="auto"/>
        <w:rPr>
          <w:lang w:val="en-GB"/>
        </w:rPr>
      </w:pPr>
    </w:p>
    <w:p w:rsidR="00625CB0" w:rsidRPr="00437808" w:rsidRDefault="00625CB0" w:rsidP="000740FD">
      <w:pPr>
        <w:spacing w:after="120" w:line="240" w:lineRule="auto"/>
        <w:rPr>
          <w:b/>
          <w:sz w:val="28"/>
          <w:lang w:val="en-GB"/>
        </w:rPr>
      </w:pPr>
      <w:r w:rsidRPr="00437808">
        <w:rPr>
          <w:b/>
          <w:sz w:val="28"/>
          <w:lang w:val="en-GB"/>
        </w:rPr>
        <w:t>Annex E: Savings</w:t>
      </w:r>
    </w:p>
    <w:p w:rsidR="00625CB0" w:rsidRPr="00437808" w:rsidRDefault="00625CB0" w:rsidP="000740FD">
      <w:pPr>
        <w:spacing w:after="120" w:line="240" w:lineRule="auto"/>
        <w:rPr>
          <w:lang w:val="en-GB"/>
        </w:rPr>
      </w:pPr>
      <w:r w:rsidRPr="00437808">
        <w:rPr>
          <w:lang w:val="en-GB"/>
        </w:rPr>
        <w:t>Allowances to departments for Deans</w:t>
      </w:r>
      <w:r w:rsidRPr="00437808">
        <w:rPr>
          <w:lang w:val="en-GB"/>
        </w:rPr>
        <w:tab/>
      </w:r>
      <w:r w:rsidRPr="00437808">
        <w:rPr>
          <w:lang w:val="en-GB"/>
        </w:rPr>
        <w:tab/>
        <w:t xml:space="preserve">£80k x 3 = </w:t>
      </w:r>
      <w:r w:rsidRPr="00437808">
        <w:rPr>
          <w:lang w:val="en-GB"/>
        </w:rPr>
        <w:tab/>
        <w:t>£240k</w:t>
      </w:r>
    </w:p>
    <w:p w:rsidR="00625CB0" w:rsidRPr="00437808" w:rsidRDefault="00625CB0" w:rsidP="000740FD">
      <w:pPr>
        <w:spacing w:after="120" w:line="240" w:lineRule="auto"/>
        <w:rPr>
          <w:lang w:val="en-GB"/>
        </w:rPr>
      </w:pPr>
      <w:r w:rsidRPr="00437808">
        <w:rPr>
          <w:lang w:val="en-GB"/>
        </w:rPr>
        <w:t>Allowances to departments for ADTs</w:t>
      </w:r>
      <w:r w:rsidRPr="00437808">
        <w:rPr>
          <w:lang w:val="en-GB"/>
        </w:rPr>
        <w:tab/>
      </w:r>
      <w:r w:rsidRPr="00437808">
        <w:rPr>
          <w:lang w:val="en-GB"/>
        </w:rPr>
        <w:tab/>
      </w:r>
      <w:r w:rsidRPr="00437808">
        <w:rPr>
          <w:lang w:val="en-GB"/>
        </w:rPr>
        <w:tab/>
        <w:t xml:space="preserve">£47k x 3 = </w:t>
      </w:r>
      <w:r w:rsidRPr="00437808">
        <w:rPr>
          <w:lang w:val="en-GB"/>
        </w:rPr>
        <w:tab/>
        <w:t>£141k</w:t>
      </w:r>
    </w:p>
    <w:p w:rsidR="00625CB0" w:rsidRPr="00437808" w:rsidRDefault="00625CB0" w:rsidP="000740FD">
      <w:pPr>
        <w:spacing w:after="120" w:line="240" w:lineRule="auto"/>
        <w:rPr>
          <w:lang w:val="en-GB"/>
        </w:rPr>
      </w:pPr>
      <w:r w:rsidRPr="00437808">
        <w:rPr>
          <w:lang w:val="en-GB"/>
        </w:rPr>
        <w:t>Allowances to departments for ADRs</w:t>
      </w:r>
      <w:r w:rsidRPr="00437808">
        <w:rPr>
          <w:lang w:val="en-GB"/>
        </w:rPr>
        <w:tab/>
      </w:r>
      <w:r w:rsidRPr="00437808">
        <w:rPr>
          <w:lang w:val="en-GB"/>
        </w:rPr>
        <w:tab/>
      </w:r>
      <w:r w:rsidRPr="00437808">
        <w:rPr>
          <w:lang w:val="en-GB"/>
        </w:rPr>
        <w:tab/>
        <w:t xml:space="preserve">£37k x 3 = </w:t>
      </w:r>
      <w:r w:rsidRPr="00437808">
        <w:rPr>
          <w:lang w:val="en-GB"/>
        </w:rPr>
        <w:tab/>
        <w:t>£111k</w:t>
      </w:r>
    </w:p>
    <w:p w:rsidR="00625CB0" w:rsidRPr="00437808" w:rsidRDefault="00625CB0" w:rsidP="000740FD">
      <w:pPr>
        <w:spacing w:after="120" w:line="240" w:lineRule="auto"/>
        <w:rPr>
          <w:lang w:val="en-GB"/>
        </w:rPr>
      </w:pPr>
      <w:r w:rsidRPr="00437808">
        <w:rPr>
          <w:lang w:val="en-GB"/>
        </w:rPr>
        <w:t>Deans’ salary enhancements</w:t>
      </w:r>
      <w:r w:rsidRPr="00437808">
        <w:rPr>
          <w:lang w:val="en-GB"/>
        </w:rPr>
        <w:tab/>
      </w:r>
      <w:r w:rsidRPr="00437808">
        <w:rPr>
          <w:lang w:val="en-GB"/>
        </w:rPr>
        <w:tab/>
      </w:r>
      <w:r w:rsidRPr="00437808">
        <w:rPr>
          <w:lang w:val="en-GB"/>
        </w:rPr>
        <w:tab/>
      </w:r>
      <w:r w:rsidRPr="00437808">
        <w:rPr>
          <w:lang w:val="en-GB"/>
        </w:rPr>
        <w:tab/>
      </w:r>
      <w:r w:rsidRPr="00437808">
        <w:rPr>
          <w:lang w:val="en-GB"/>
        </w:rPr>
        <w:tab/>
      </w:r>
      <w:r w:rsidRPr="00437808">
        <w:rPr>
          <w:lang w:val="en-GB"/>
        </w:rPr>
        <w:tab/>
        <w:t xml:space="preserve">  £50k</w:t>
      </w:r>
    </w:p>
    <w:p w:rsidR="00625CB0" w:rsidRPr="00437808" w:rsidRDefault="00625CB0" w:rsidP="000740FD">
      <w:pPr>
        <w:spacing w:after="120" w:line="240" w:lineRule="auto"/>
        <w:rPr>
          <w:lang w:val="en-GB"/>
        </w:rPr>
      </w:pPr>
      <w:r w:rsidRPr="00437808">
        <w:rPr>
          <w:lang w:val="en-GB"/>
        </w:rPr>
        <w:t>Honoraria</w:t>
      </w:r>
      <w:r w:rsidRPr="00437808">
        <w:rPr>
          <w:lang w:val="en-GB"/>
        </w:rPr>
        <w:tab/>
      </w:r>
      <w:r w:rsidRPr="00437808">
        <w:rPr>
          <w:lang w:val="en-GB"/>
        </w:rPr>
        <w:tab/>
      </w:r>
      <w:r w:rsidRPr="00437808">
        <w:rPr>
          <w:lang w:val="en-GB"/>
        </w:rPr>
        <w:tab/>
      </w:r>
      <w:r w:rsidRPr="00437808">
        <w:rPr>
          <w:lang w:val="en-GB"/>
        </w:rPr>
        <w:tab/>
      </w:r>
      <w:r w:rsidRPr="00437808">
        <w:rPr>
          <w:lang w:val="en-GB"/>
        </w:rPr>
        <w:tab/>
        <w:t>£7k x 22 - £10k x 10 =</w:t>
      </w:r>
      <w:r w:rsidRPr="00437808">
        <w:rPr>
          <w:lang w:val="en-GB"/>
        </w:rPr>
        <w:tab/>
        <w:t xml:space="preserve">  £54k</w:t>
      </w:r>
    </w:p>
    <w:p w:rsidR="00625CB0" w:rsidRPr="00437808" w:rsidRDefault="00625CB0" w:rsidP="000740FD">
      <w:pPr>
        <w:spacing w:after="120" w:line="240" w:lineRule="auto"/>
        <w:rPr>
          <w:lang w:val="en-GB"/>
        </w:rPr>
      </w:pPr>
      <w:r w:rsidRPr="00437808">
        <w:rPr>
          <w:lang w:val="en-GB"/>
        </w:rPr>
        <w:t>Faculty non-pay costs</w:t>
      </w:r>
      <w:r w:rsidRPr="00437808">
        <w:rPr>
          <w:lang w:val="en-GB"/>
        </w:rPr>
        <w:tab/>
      </w:r>
      <w:r w:rsidRPr="00437808">
        <w:rPr>
          <w:lang w:val="en-GB"/>
        </w:rPr>
        <w:tab/>
      </w:r>
      <w:r w:rsidRPr="00437808">
        <w:rPr>
          <w:lang w:val="en-GB"/>
        </w:rPr>
        <w:tab/>
      </w:r>
      <w:r w:rsidRPr="00437808">
        <w:rPr>
          <w:lang w:val="en-GB"/>
        </w:rPr>
        <w:tab/>
      </w:r>
      <w:r w:rsidRPr="00437808">
        <w:rPr>
          <w:lang w:val="en-GB"/>
        </w:rPr>
        <w:tab/>
      </w:r>
      <w:r w:rsidRPr="00437808">
        <w:rPr>
          <w:lang w:val="en-GB"/>
        </w:rPr>
        <w:tab/>
      </w:r>
      <w:r w:rsidRPr="00437808">
        <w:rPr>
          <w:lang w:val="en-GB"/>
        </w:rPr>
        <w:tab/>
        <w:t xml:space="preserve">  £50k</w:t>
      </w:r>
    </w:p>
    <w:p w:rsidR="00625CB0" w:rsidRPr="00437808" w:rsidRDefault="00625CB0" w:rsidP="000740FD">
      <w:pPr>
        <w:spacing w:after="120" w:line="240" w:lineRule="auto"/>
        <w:rPr>
          <w:b/>
          <w:lang w:val="en-GB"/>
        </w:rPr>
      </w:pPr>
      <w:r w:rsidRPr="00437808">
        <w:rPr>
          <w:b/>
          <w:lang w:val="en-GB"/>
        </w:rPr>
        <w:t>Total</w:t>
      </w:r>
      <w:r w:rsidRPr="00437808">
        <w:rPr>
          <w:b/>
          <w:lang w:val="en-GB"/>
        </w:rPr>
        <w:tab/>
      </w:r>
      <w:r w:rsidRPr="00437808">
        <w:rPr>
          <w:b/>
          <w:lang w:val="en-GB"/>
        </w:rPr>
        <w:tab/>
      </w:r>
      <w:r w:rsidRPr="00437808">
        <w:rPr>
          <w:b/>
          <w:lang w:val="en-GB"/>
        </w:rPr>
        <w:tab/>
      </w:r>
      <w:r w:rsidRPr="00437808">
        <w:rPr>
          <w:b/>
          <w:lang w:val="en-GB"/>
        </w:rPr>
        <w:tab/>
      </w:r>
      <w:r w:rsidRPr="00437808">
        <w:rPr>
          <w:b/>
          <w:lang w:val="en-GB"/>
        </w:rPr>
        <w:tab/>
      </w:r>
      <w:r w:rsidRPr="00437808">
        <w:rPr>
          <w:b/>
          <w:lang w:val="en-GB"/>
        </w:rPr>
        <w:tab/>
      </w:r>
      <w:r w:rsidRPr="00437808">
        <w:rPr>
          <w:b/>
          <w:lang w:val="en-GB"/>
        </w:rPr>
        <w:tab/>
      </w:r>
      <w:r w:rsidRPr="00437808">
        <w:rPr>
          <w:b/>
          <w:lang w:val="en-GB"/>
        </w:rPr>
        <w:tab/>
      </w:r>
      <w:r w:rsidRPr="00437808">
        <w:rPr>
          <w:b/>
          <w:lang w:val="en-GB"/>
        </w:rPr>
        <w:tab/>
        <w:t>£646k</w:t>
      </w:r>
    </w:p>
    <w:p w:rsidR="00625CB0" w:rsidRPr="00437808" w:rsidRDefault="006F4771" w:rsidP="000740FD">
      <w:pPr>
        <w:spacing w:after="120" w:line="240" w:lineRule="auto"/>
        <w:rPr>
          <w:lang w:val="en-GB"/>
        </w:rPr>
      </w:pPr>
      <w:r w:rsidRPr="00437808">
        <w:rPr>
          <w:lang w:val="en-GB"/>
        </w:rPr>
        <w:t>No allowance has been made for savings due to removing administrative support at Faculty level as this will have to be replaced at School level, at least in the short term.</w:t>
      </w:r>
    </w:p>
    <w:p w:rsidR="00CC1554" w:rsidRPr="00437808" w:rsidRDefault="00CC1554" w:rsidP="000740FD">
      <w:pPr>
        <w:spacing w:after="120" w:line="240" w:lineRule="auto"/>
        <w:rPr>
          <w:lang w:val="en-GB"/>
        </w:rPr>
      </w:pPr>
    </w:p>
    <w:p w:rsidR="006C43DA" w:rsidRPr="00437808" w:rsidRDefault="006C43DA">
      <w:pPr>
        <w:spacing w:after="0" w:line="240" w:lineRule="auto"/>
        <w:jc w:val="left"/>
        <w:rPr>
          <w:b/>
          <w:sz w:val="28"/>
          <w:lang w:val="en-GB"/>
        </w:rPr>
      </w:pPr>
      <w:r w:rsidRPr="00437808">
        <w:rPr>
          <w:b/>
          <w:sz w:val="28"/>
          <w:lang w:val="en-GB"/>
        </w:rPr>
        <w:br w:type="page"/>
      </w:r>
    </w:p>
    <w:p w:rsidR="00B3717F" w:rsidRPr="00437808" w:rsidRDefault="00B3717F" w:rsidP="000740FD">
      <w:pPr>
        <w:spacing w:after="120" w:line="240" w:lineRule="auto"/>
        <w:rPr>
          <w:b/>
          <w:sz w:val="28"/>
          <w:lang w:val="en-GB"/>
        </w:rPr>
      </w:pPr>
      <w:r w:rsidRPr="00437808">
        <w:rPr>
          <w:b/>
          <w:sz w:val="28"/>
          <w:lang w:val="en-GB"/>
        </w:rPr>
        <w:lastRenderedPageBreak/>
        <w:t xml:space="preserve">Annex </w:t>
      </w:r>
      <w:r w:rsidR="00625CB0" w:rsidRPr="00437808">
        <w:rPr>
          <w:b/>
          <w:sz w:val="28"/>
          <w:lang w:val="en-GB"/>
        </w:rPr>
        <w:t>F</w:t>
      </w:r>
      <w:r w:rsidRPr="00437808">
        <w:rPr>
          <w:b/>
          <w:sz w:val="28"/>
          <w:lang w:val="en-GB"/>
        </w:rPr>
        <w:t>: Institutional Robustness</w:t>
      </w:r>
    </w:p>
    <w:p w:rsidR="00566455" w:rsidRPr="00437808" w:rsidRDefault="00F04E06" w:rsidP="000740FD">
      <w:pPr>
        <w:spacing w:after="120" w:line="240" w:lineRule="auto"/>
        <w:rPr>
          <w:rFonts w:asciiTheme="minorHAnsi" w:hAnsiTheme="minorHAnsi" w:cs="Arial"/>
        </w:rPr>
      </w:pPr>
      <w:r w:rsidRPr="00437808">
        <w:rPr>
          <w:rFonts w:asciiTheme="minorHAnsi" w:hAnsiTheme="minorHAnsi" w:cs="Arial"/>
        </w:rPr>
        <w:t>All the indications are that the financial climate is going to deteriorate</w:t>
      </w:r>
      <w:r w:rsidR="00034807" w:rsidRPr="00437808">
        <w:rPr>
          <w:rFonts w:asciiTheme="minorHAnsi" w:hAnsiTheme="minorHAnsi" w:cs="Arial"/>
        </w:rPr>
        <w:t xml:space="preserve"> and that we will not be able to backfill posts as they become vacant</w:t>
      </w:r>
      <w:r w:rsidRPr="00437808">
        <w:rPr>
          <w:rFonts w:asciiTheme="minorHAnsi" w:hAnsiTheme="minorHAnsi" w:cs="Arial"/>
        </w:rPr>
        <w:t>.</w:t>
      </w:r>
      <w:r w:rsidR="004B1109" w:rsidRPr="00437808">
        <w:rPr>
          <w:rFonts w:asciiTheme="minorHAnsi" w:hAnsiTheme="minorHAnsi" w:cs="Arial"/>
        </w:rPr>
        <w:t xml:space="preserve"> Financial plans presented to Council indicate that a reduction of more than £10M in recurrent costs will be required by 2014.</w:t>
      </w:r>
      <w:r w:rsidRPr="00437808">
        <w:rPr>
          <w:rFonts w:asciiTheme="minorHAnsi" w:hAnsiTheme="minorHAnsi" w:cs="Arial"/>
        </w:rPr>
        <w:t xml:space="preserve"> </w:t>
      </w:r>
      <w:r w:rsidR="00034807" w:rsidRPr="00437808">
        <w:rPr>
          <w:rFonts w:asciiTheme="minorHAnsi" w:hAnsiTheme="minorHAnsi" w:cs="Arial"/>
        </w:rPr>
        <w:t>Under such circumstances, s</w:t>
      </w:r>
      <w:r w:rsidR="00566455" w:rsidRPr="00437808">
        <w:rPr>
          <w:rFonts w:asciiTheme="minorHAnsi" w:hAnsiTheme="minorHAnsi" w:cs="Arial"/>
        </w:rPr>
        <w:t xml:space="preserve">mall cost </w:t>
      </w:r>
      <w:proofErr w:type="spellStart"/>
      <w:r w:rsidR="00566455" w:rsidRPr="00437808">
        <w:rPr>
          <w:rFonts w:asciiTheme="minorHAnsi" w:hAnsiTheme="minorHAnsi" w:cs="Arial"/>
        </w:rPr>
        <w:t>centres</w:t>
      </w:r>
      <w:proofErr w:type="spellEnd"/>
      <w:r w:rsidR="00566455" w:rsidRPr="00437808">
        <w:rPr>
          <w:rFonts w:asciiTheme="minorHAnsi" w:hAnsiTheme="minorHAnsi" w:cs="Arial"/>
        </w:rPr>
        <w:t xml:space="preserve"> will find it very difficult to maintain their core activities at a level appropriate for a leading university.</w:t>
      </w:r>
      <w:r w:rsidR="00EB2AAA" w:rsidRPr="00437808">
        <w:rPr>
          <w:rFonts w:asciiTheme="minorHAnsi" w:hAnsiTheme="minorHAnsi" w:cs="Arial"/>
        </w:rPr>
        <w:t xml:space="preserve"> Larger cost </w:t>
      </w:r>
      <w:proofErr w:type="spellStart"/>
      <w:r w:rsidR="00EB2AAA" w:rsidRPr="00437808">
        <w:rPr>
          <w:rFonts w:asciiTheme="minorHAnsi" w:hAnsiTheme="minorHAnsi" w:cs="Arial"/>
        </w:rPr>
        <w:t>centres</w:t>
      </w:r>
      <w:proofErr w:type="spellEnd"/>
      <w:r w:rsidR="00EB2AAA" w:rsidRPr="00437808">
        <w:rPr>
          <w:rFonts w:asciiTheme="minorHAnsi" w:hAnsiTheme="minorHAnsi" w:cs="Arial"/>
        </w:rPr>
        <w:t xml:space="preserve"> </w:t>
      </w:r>
      <w:r w:rsidR="00900244" w:rsidRPr="00437808">
        <w:rPr>
          <w:rFonts w:asciiTheme="minorHAnsi" w:hAnsiTheme="minorHAnsi" w:cs="Arial"/>
        </w:rPr>
        <w:t>will st</w:t>
      </w:r>
      <w:r w:rsidR="00616483" w:rsidRPr="00437808">
        <w:rPr>
          <w:rFonts w:asciiTheme="minorHAnsi" w:hAnsiTheme="minorHAnsi" w:cs="Arial"/>
        </w:rPr>
        <w:t>ill face significant challenges</w:t>
      </w:r>
      <w:r w:rsidR="00900244" w:rsidRPr="00437808">
        <w:rPr>
          <w:rFonts w:asciiTheme="minorHAnsi" w:hAnsiTheme="minorHAnsi" w:cs="Arial"/>
        </w:rPr>
        <w:t xml:space="preserve"> but will be better placed to make efficiency savings rather than having to stop engaging in a particular activity.</w:t>
      </w:r>
    </w:p>
    <w:p w:rsidR="00090D47" w:rsidRPr="00437808" w:rsidRDefault="00566455" w:rsidP="000740FD">
      <w:pPr>
        <w:spacing w:after="120" w:line="240" w:lineRule="auto"/>
        <w:rPr>
          <w:rFonts w:asciiTheme="minorHAnsi" w:hAnsiTheme="minorHAnsi" w:cs="Arial"/>
        </w:rPr>
      </w:pPr>
      <w:r w:rsidRPr="00437808">
        <w:rPr>
          <w:rFonts w:asciiTheme="minorHAnsi" w:hAnsiTheme="minorHAnsi" w:cs="Arial"/>
        </w:rPr>
        <w:t xml:space="preserve">This is the most important reason why change is being contemplated at this time. </w:t>
      </w:r>
      <w:r w:rsidR="00B3717F" w:rsidRPr="00437808">
        <w:rPr>
          <w:rFonts w:asciiTheme="minorHAnsi" w:hAnsiTheme="minorHAnsi" w:cs="Arial"/>
        </w:rPr>
        <w:t xml:space="preserve">The PMB </w:t>
      </w:r>
      <w:r w:rsidRPr="00437808">
        <w:rPr>
          <w:rFonts w:asciiTheme="minorHAnsi" w:hAnsiTheme="minorHAnsi" w:cs="Arial"/>
        </w:rPr>
        <w:t xml:space="preserve">has </w:t>
      </w:r>
      <w:proofErr w:type="spellStart"/>
      <w:r w:rsidRPr="00437808">
        <w:rPr>
          <w:rFonts w:asciiTheme="minorHAnsi" w:hAnsiTheme="minorHAnsi" w:cs="Arial"/>
        </w:rPr>
        <w:t>en</w:t>
      </w:r>
      <w:r w:rsidR="00A241D5" w:rsidRPr="00437808">
        <w:rPr>
          <w:rFonts w:asciiTheme="minorHAnsi" w:hAnsiTheme="minorHAnsi" w:cs="Arial"/>
        </w:rPr>
        <w:t>d</w:t>
      </w:r>
      <w:r w:rsidRPr="00437808">
        <w:rPr>
          <w:rFonts w:asciiTheme="minorHAnsi" w:hAnsiTheme="minorHAnsi" w:cs="Arial"/>
        </w:rPr>
        <w:t>eavoured</w:t>
      </w:r>
      <w:proofErr w:type="spellEnd"/>
      <w:r w:rsidR="00B3717F" w:rsidRPr="00437808">
        <w:rPr>
          <w:rFonts w:asciiTheme="minorHAnsi" w:hAnsiTheme="minorHAnsi" w:cs="Arial"/>
        </w:rPr>
        <w:t xml:space="preserve"> to recommend a structure which will enable the University to respond effectively to the challenging </w:t>
      </w:r>
      <w:r w:rsidRPr="00437808">
        <w:rPr>
          <w:rFonts w:asciiTheme="minorHAnsi" w:hAnsiTheme="minorHAnsi" w:cs="Arial"/>
        </w:rPr>
        <w:t>economic</w:t>
      </w:r>
      <w:r w:rsidR="00B3717F" w:rsidRPr="00437808">
        <w:rPr>
          <w:rFonts w:asciiTheme="minorHAnsi" w:hAnsiTheme="minorHAnsi" w:cs="Arial"/>
        </w:rPr>
        <w:t xml:space="preserve"> environment and, at the same time, protect its core business.</w:t>
      </w:r>
      <w:r w:rsidR="00F1492E" w:rsidRPr="00437808">
        <w:rPr>
          <w:rFonts w:asciiTheme="minorHAnsi" w:hAnsiTheme="minorHAnsi" w:cs="Arial"/>
        </w:rPr>
        <w:t xml:space="preserve"> </w:t>
      </w:r>
    </w:p>
    <w:p w:rsidR="00B3717F" w:rsidRPr="00437808" w:rsidRDefault="00090D47" w:rsidP="000740FD">
      <w:pPr>
        <w:spacing w:after="120" w:line="240" w:lineRule="auto"/>
        <w:rPr>
          <w:rFonts w:asciiTheme="minorHAnsi" w:hAnsiTheme="minorHAnsi" w:cs="Arial"/>
        </w:rPr>
      </w:pPr>
      <w:r w:rsidRPr="00437808">
        <w:rPr>
          <w:rFonts w:asciiTheme="minorHAnsi" w:hAnsiTheme="minorHAnsi" w:cs="Arial"/>
        </w:rPr>
        <w:t xml:space="preserve">Larger cost </w:t>
      </w:r>
      <w:proofErr w:type="spellStart"/>
      <w:r w:rsidRPr="00437808">
        <w:rPr>
          <w:rFonts w:asciiTheme="minorHAnsi" w:hAnsiTheme="minorHAnsi" w:cs="Arial"/>
        </w:rPr>
        <w:t>centres</w:t>
      </w:r>
      <w:proofErr w:type="spellEnd"/>
      <w:r w:rsidRPr="00437808">
        <w:rPr>
          <w:rFonts w:asciiTheme="minorHAnsi" w:hAnsiTheme="minorHAnsi" w:cs="Arial"/>
        </w:rPr>
        <w:t xml:space="preserve"> should help to remove the single points of failure that currently exist within small units. They should also, in time, be able to </w:t>
      </w:r>
      <w:r w:rsidR="008F068A" w:rsidRPr="00437808">
        <w:rPr>
          <w:rFonts w:asciiTheme="minorHAnsi" w:hAnsiTheme="minorHAnsi" w:cs="Arial"/>
        </w:rPr>
        <w:t>achieve</w:t>
      </w:r>
      <w:r w:rsidRPr="00437808">
        <w:rPr>
          <w:rFonts w:asciiTheme="minorHAnsi" w:hAnsiTheme="minorHAnsi" w:cs="Arial"/>
        </w:rPr>
        <w:t xml:space="preserve"> economies of scale.</w:t>
      </w:r>
      <w:r w:rsidR="008F068A" w:rsidRPr="00437808">
        <w:rPr>
          <w:rFonts w:asciiTheme="minorHAnsi" w:hAnsiTheme="minorHAnsi" w:cs="Arial"/>
        </w:rPr>
        <w:t xml:space="preserve"> A number of activities</w:t>
      </w:r>
      <w:r w:rsidR="00A241D5" w:rsidRPr="00437808">
        <w:rPr>
          <w:rFonts w:asciiTheme="minorHAnsi" w:hAnsiTheme="minorHAnsi" w:cs="Arial"/>
        </w:rPr>
        <w:t xml:space="preserve"> </w:t>
      </w:r>
      <w:r w:rsidR="008F068A" w:rsidRPr="00437808">
        <w:rPr>
          <w:rFonts w:asciiTheme="minorHAnsi" w:hAnsiTheme="minorHAnsi" w:cs="Arial"/>
        </w:rPr>
        <w:t>which some small departments cannot engage with in a meaningful way should be managed more effectively.</w:t>
      </w:r>
      <w:r w:rsidR="007657F8" w:rsidRPr="00437808">
        <w:rPr>
          <w:rFonts w:asciiTheme="minorHAnsi" w:hAnsiTheme="minorHAnsi" w:cs="Arial"/>
        </w:rPr>
        <w:t xml:space="preserve"> We </w:t>
      </w:r>
      <w:proofErr w:type="spellStart"/>
      <w:r w:rsidR="007657F8" w:rsidRPr="00437808">
        <w:rPr>
          <w:rFonts w:asciiTheme="minorHAnsi" w:hAnsiTheme="minorHAnsi" w:cs="Arial"/>
        </w:rPr>
        <w:t>recognise</w:t>
      </w:r>
      <w:proofErr w:type="spellEnd"/>
      <w:r w:rsidR="007657F8" w:rsidRPr="00437808">
        <w:rPr>
          <w:rFonts w:asciiTheme="minorHAnsi" w:hAnsiTheme="minorHAnsi" w:cs="Arial"/>
        </w:rPr>
        <w:t xml:space="preserve"> that Schools that are not co-located will find it more difficult to achieve these benefits.</w:t>
      </w:r>
    </w:p>
    <w:p w:rsidR="00FA1A89" w:rsidRPr="00437808" w:rsidRDefault="00F426BB" w:rsidP="000740FD">
      <w:pPr>
        <w:spacing w:after="120" w:line="240" w:lineRule="auto"/>
        <w:rPr>
          <w:rFonts w:asciiTheme="minorHAnsi" w:hAnsiTheme="minorHAnsi" w:cs="Arial"/>
        </w:rPr>
      </w:pPr>
      <w:r w:rsidRPr="00437808">
        <w:rPr>
          <w:rFonts w:asciiTheme="minorHAnsi" w:hAnsiTheme="minorHAnsi" w:cs="Arial"/>
        </w:rPr>
        <w:t>We believe also that the changes proposed at School management level and the creation of the Academic Leadership Team will ensure that the academic body of the University will be able to influence appropriately the form that future cost reductions will take.</w:t>
      </w:r>
    </w:p>
    <w:p w:rsidR="008D2E2C" w:rsidRPr="00437808" w:rsidRDefault="008C10A9" w:rsidP="000740FD">
      <w:pPr>
        <w:spacing w:after="120" w:line="240" w:lineRule="auto"/>
        <w:rPr>
          <w:lang w:val="en-GB"/>
        </w:rPr>
      </w:pPr>
      <w:r w:rsidRPr="00000C4C">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9" o:title="Default Line"/>
          </v:shape>
        </w:pict>
      </w:r>
    </w:p>
    <w:p w:rsidR="008D2E2C" w:rsidRPr="00437808" w:rsidRDefault="001A0A66" w:rsidP="000740FD">
      <w:pPr>
        <w:spacing w:after="120" w:line="240" w:lineRule="auto"/>
        <w:jc w:val="left"/>
        <w:rPr>
          <w:lang w:val="en-GB"/>
        </w:rPr>
      </w:pPr>
      <w:r w:rsidRPr="00437808">
        <w:rPr>
          <w:lang w:val="en-GB"/>
        </w:rPr>
        <w:t>Chris Linton (Chair)</w:t>
      </w:r>
    </w:p>
    <w:p w:rsidR="00FB611B" w:rsidRPr="00437808" w:rsidRDefault="00FB611B" w:rsidP="00FB611B">
      <w:pPr>
        <w:spacing w:after="0" w:line="240" w:lineRule="auto"/>
        <w:rPr>
          <w:lang w:val="en-GB"/>
        </w:rPr>
      </w:pPr>
      <w:r w:rsidRPr="00437808">
        <w:rPr>
          <w:lang w:val="en-GB"/>
        </w:rPr>
        <w:t>Jon Binner, Andrew Burgess, Phil Hubbard, Graham Matthews, Myra Nimmo,</w:t>
      </w:r>
    </w:p>
    <w:p w:rsidR="00AA484B" w:rsidRPr="00437808" w:rsidRDefault="00FB611B" w:rsidP="00FB611B">
      <w:pPr>
        <w:spacing w:after="0" w:line="240" w:lineRule="auto"/>
        <w:rPr>
          <w:lang w:val="en-GB"/>
        </w:rPr>
      </w:pPr>
      <w:r w:rsidRPr="00437808">
        <w:rPr>
          <w:lang w:val="en-GB"/>
        </w:rPr>
        <w:t xml:space="preserve">Jennifer Nutkins, </w:t>
      </w:r>
      <w:r w:rsidR="00665A4F" w:rsidRPr="00437808">
        <w:rPr>
          <w:lang w:val="en-GB"/>
        </w:rPr>
        <w:t>Chris Rie</w:t>
      </w:r>
      <w:r w:rsidR="008D2E2C" w:rsidRPr="00437808">
        <w:rPr>
          <w:lang w:val="en-GB"/>
        </w:rPr>
        <w:t>lly</w:t>
      </w:r>
      <w:r w:rsidR="001A0A66" w:rsidRPr="00437808">
        <w:rPr>
          <w:lang w:val="en-GB"/>
        </w:rPr>
        <w:t xml:space="preserve">, </w:t>
      </w:r>
      <w:r w:rsidR="008D2E2C" w:rsidRPr="00437808">
        <w:rPr>
          <w:lang w:val="en-GB"/>
        </w:rPr>
        <w:t>Yiannis Vardaxoglou</w:t>
      </w:r>
      <w:r w:rsidRPr="00437808">
        <w:rPr>
          <w:lang w:val="en-GB"/>
        </w:rPr>
        <w:t>,</w:t>
      </w:r>
      <w:r w:rsidR="001A0A66" w:rsidRPr="00437808">
        <w:rPr>
          <w:lang w:val="en-GB"/>
        </w:rPr>
        <w:t xml:space="preserve"> </w:t>
      </w:r>
      <w:r w:rsidR="008D2E2C" w:rsidRPr="00437808">
        <w:rPr>
          <w:lang w:val="en-GB"/>
        </w:rPr>
        <w:t>Caroline Walker</w:t>
      </w:r>
    </w:p>
    <w:p w:rsidR="001A0A66" w:rsidRPr="00437808" w:rsidRDefault="00AA484B" w:rsidP="000740FD">
      <w:pPr>
        <w:spacing w:after="120" w:line="240" w:lineRule="auto"/>
        <w:rPr>
          <w:lang w:val="en-GB"/>
        </w:rPr>
      </w:pPr>
      <w:r w:rsidRPr="00437808">
        <w:rPr>
          <w:lang w:val="en-GB"/>
        </w:rPr>
        <w:t>Supported by Fidelma Hannah and Tom Orrill</w:t>
      </w:r>
    </w:p>
    <w:p w:rsidR="00417A01" w:rsidRPr="00437808" w:rsidRDefault="006C43DA" w:rsidP="000740FD">
      <w:pPr>
        <w:spacing w:after="120" w:line="240" w:lineRule="auto"/>
        <w:jc w:val="right"/>
        <w:rPr>
          <w:lang w:val="en-GB"/>
        </w:rPr>
      </w:pPr>
      <w:r w:rsidRPr="00437808">
        <w:rPr>
          <w:lang w:val="en-GB"/>
        </w:rPr>
        <w:t>June</w:t>
      </w:r>
      <w:r w:rsidR="001A0A66" w:rsidRPr="00437808">
        <w:rPr>
          <w:lang w:val="en-GB"/>
        </w:rPr>
        <w:t xml:space="preserve"> 2010</w:t>
      </w:r>
    </w:p>
    <w:sectPr w:rsidR="00417A01" w:rsidRPr="00437808" w:rsidSect="00D21E6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B3" w:rsidRDefault="007C73B3" w:rsidP="000A6246">
      <w:pPr>
        <w:spacing w:after="0" w:line="240" w:lineRule="auto"/>
      </w:pPr>
      <w:r>
        <w:separator/>
      </w:r>
    </w:p>
  </w:endnote>
  <w:endnote w:type="continuationSeparator" w:id="0">
    <w:p w:rsidR="007C73B3" w:rsidRDefault="007C73B3" w:rsidP="000A6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B3" w:rsidRDefault="00000C4C" w:rsidP="000A6246">
    <w:pPr>
      <w:pStyle w:val="Footer"/>
      <w:jc w:val="center"/>
    </w:pPr>
    <w:fldSimple w:instr=" PAGE   \* MERGEFORMAT ">
      <w:r w:rsidR="008C10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B3" w:rsidRDefault="007C73B3" w:rsidP="000A6246">
      <w:pPr>
        <w:spacing w:after="0" w:line="240" w:lineRule="auto"/>
      </w:pPr>
      <w:r>
        <w:separator/>
      </w:r>
    </w:p>
  </w:footnote>
  <w:footnote w:type="continuationSeparator" w:id="0">
    <w:p w:rsidR="007C73B3" w:rsidRDefault="007C73B3" w:rsidP="000A6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A9" w:rsidRDefault="008C10A9" w:rsidP="008C10A9">
    <w:pPr>
      <w:pStyle w:val="Header"/>
      <w:jc w:val="right"/>
    </w:pPr>
    <w:r>
      <w:t>SEN10-P42</w:t>
    </w:r>
    <w:r>
      <w:br/>
    </w:r>
    <w:r>
      <w:t>30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7142"/>
    <w:multiLevelType w:val="hybridMultilevel"/>
    <w:tmpl w:val="8C36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2848"/>
    <w:multiLevelType w:val="hybridMultilevel"/>
    <w:tmpl w:val="00EA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C71CB"/>
    <w:multiLevelType w:val="hybridMultilevel"/>
    <w:tmpl w:val="CD3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32487"/>
    <w:multiLevelType w:val="multilevel"/>
    <w:tmpl w:val="D51C124C"/>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16085439"/>
    <w:multiLevelType w:val="hybridMultilevel"/>
    <w:tmpl w:val="967C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30F70"/>
    <w:multiLevelType w:val="hybridMultilevel"/>
    <w:tmpl w:val="CC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F15EB"/>
    <w:multiLevelType w:val="hybridMultilevel"/>
    <w:tmpl w:val="0E72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30496"/>
    <w:multiLevelType w:val="hybridMultilevel"/>
    <w:tmpl w:val="45CC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C09D7"/>
    <w:multiLevelType w:val="hybridMultilevel"/>
    <w:tmpl w:val="4A6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B169B"/>
    <w:multiLevelType w:val="hybridMultilevel"/>
    <w:tmpl w:val="D904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533C8"/>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63005"/>
    <w:multiLevelType w:val="hybridMultilevel"/>
    <w:tmpl w:val="D362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81109"/>
    <w:multiLevelType w:val="hybridMultilevel"/>
    <w:tmpl w:val="729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56E15"/>
    <w:multiLevelType w:val="hybridMultilevel"/>
    <w:tmpl w:val="D2C2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A5789"/>
    <w:multiLevelType w:val="hybridMultilevel"/>
    <w:tmpl w:val="F972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E3B01"/>
    <w:multiLevelType w:val="hybridMultilevel"/>
    <w:tmpl w:val="C2C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F4944"/>
    <w:multiLevelType w:val="hybridMultilevel"/>
    <w:tmpl w:val="455681EA"/>
    <w:lvl w:ilvl="0" w:tplc="60D65CCC">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8708C"/>
    <w:multiLevelType w:val="hybridMultilevel"/>
    <w:tmpl w:val="0020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1B0121"/>
    <w:multiLevelType w:val="hybridMultilevel"/>
    <w:tmpl w:val="CB4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4319FC"/>
    <w:multiLevelType w:val="hybridMultilevel"/>
    <w:tmpl w:val="3ABE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2E6E5C"/>
    <w:multiLevelType w:val="hybridMultilevel"/>
    <w:tmpl w:val="00F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70754"/>
    <w:multiLevelType w:val="hybridMultilevel"/>
    <w:tmpl w:val="BCB4CF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16202E"/>
    <w:multiLevelType w:val="hybridMultilevel"/>
    <w:tmpl w:val="8664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55B6D"/>
    <w:multiLevelType w:val="hybridMultilevel"/>
    <w:tmpl w:val="6648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82006A"/>
    <w:multiLevelType w:val="hybridMultilevel"/>
    <w:tmpl w:val="5D36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045BB"/>
    <w:multiLevelType w:val="hybridMultilevel"/>
    <w:tmpl w:val="9A2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65313E"/>
    <w:multiLevelType w:val="hybridMultilevel"/>
    <w:tmpl w:val="B954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0"/>
  </w:num>
  <w:num w:numId="5">
    <w:abstractNumId w:val="6"/>
  </w:num>
  <w:num w:numId="6">
    <w:abstractNumId w:val="19"/>
  </w:num>
  <w:num w:numId="7">
    <w:abstractNumId w:val="7"/>
  </w:num>
  <w:num w:numId="8">
    <w:abstractNumId w:val="16"/>
  </w:num>
  <w:num w:numId="9">
    <w:abstractNumId w:val="22"/>
  </w:num>
  <w:num w:numId="10">
    <w:abstractNumId w:val="26"/>
  </w:num>
  <w:num w:numId="11">
    <w:abstractNumId w:val="15"/>
  </w:num>
  <w:num w:numId="12">
    <w:abstractNumId w:val="23"/>
  </w:num>
  <w:num w:numId="13">
    <w:abstractNumId w:val="9"/>
  </w:num>
  <w:num w:numId="14">
    <w:abstractNumId w:val="8"/>
  </w:num>
  <w:num w:numId="15">
    <w:abstractNumId w:val="2"/>
  </w:num>
  <w:num w:numId="16">
    <w:abstractNumId w:val="4"/>
  </w:num>
  <w:num w:numId="17">
    <w:abstractNumId w:val="14"/>
  </w:num>
  <w:num w:numId="18">
    <w:abstractNumId w:val="17"/>
  </w:num>
  <w:num w:numId="19">
    <w:abstractNumId w:val="24"/>
  </w:num>
  <w:num w:numId="20">
    <w:abstractNumId w:val="13"/>
  </w:num>
  <w:num w:numId="21">
    <w:abstractNumId w:val="20"/>
  </w:num>
  <w:num w:numId="22">
    <w:abstractNumId w:val="21"/>
  </w:num>
  <w:num w:numId="23">
    <w:abstractNumId w:val="10"/>
  </w:num>
  <w:num w:numId="24">
    <w:abstractNumId w:val="11"/>
  </w:num>
  <w:num w:numId="25">
    <w:abstractNumId w:val="5"/>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8D4F70"/>
    <w:rsid w:val="000001F3"/>
    <w:rsid w:val="00000C4C"/>
    <w:rsid w:val="00010DEB"/>
    <w:rsid w:val="0001595B"/>
    <w:rsid w:val="00020AB3"/>
    <w:rsid w:val="00020D2A"/>
    <w:rsid w:val="00022B33"/>
    <w:rsid w:val="0002727A"/>
    <w:rsid w:val="00034807"/>
    <w:rsid w:val="000532B1"/>
    <w:rsid w:val="00053C28"/>
    <w:rsid w:val="0006012C"/>
    <w:rsid w:val="000740FD"/>
    <w:rsid w:val="00090829"/>
    <w:rsid w:val="00090D47"/>
    <w:rsid w:val="000929B1"/>
    <w:rsid w:val="00095586"/>
    <w:rsid w:val="00096764"/>
    <w:rsid w:val="00097A38"/>
    <w:rsid w:val="000A6246"/>
    <w:rsid w:val="000C08D7"/>
    <w:rsid w:val="000C1995"/>
    <w:rsid w:val="000C5183"/>
    <w:rsid w:val="000C64AD"/>
    <w:rsid w:val="000C7B92"/>
    <w:rsid w:val="000E0DE5"/>
    <w:rsid w:val="000E67CF"/>
    <w:rsid w:val="000F070A"/>
    <w:rsid w:val="000F09FF"/>
    <w:rsid w:val="000F261C"/>
    <w:rsid w:val="00103817"/>
    <w:rsid w:val="001055CE"/>
    <w:rsid w:val="00112C0E"/>
    <w:rsid w:val="00113F8C"/>
    <w:rsid w:val="00114A32"/>
    <w:rsid w:val="00130828"/>
    <w:rsid w:val="00164521"/>
    <w:rsid w:val="0017022D"/>
    <w:rsid w:val="00174F9E"/>
    <w:rsid w:val="00177A60"/>
    <w:rsid w:val="00185BA1"/>
    <w:rsid w:val="00191BDD"/>
    <w:rsid w:val="001A0A66"/>
    <w:rsid w:val="001B052F"/>
    <w:rsid w:val="001B6510"/>
    <w:rsid w:val="001D2397"/>
    <w:rsid w:val="001D5A40"/>
    <w:rsid w:val="001F3C95"/>
    <w:rsid w:val="001F3E7E"/>
    <w:rsid w:val="001F6872"/>
    <w:rsid w:val="001F7CF2"/>
    <w:rsid w:val="002027D2"/>
    <w:rsid w:val="0020319F"/>
    <w:rsid w:val="00210462"/>
    <w:rsid w:val="002249EA"/>
    <w:rsid w:val="00230720"/>
    <w:rsid w:val="002307CA"/>
    <w:rsid w:val="00230BD0"/>
    <w:rsid w:val="002334D6"/>
    <w:rsid w:val="00233DA3"/>
    <w:rsid w:val="00237F4F"/>
    <w:rsid w:val="0025119F"/>
    <w:rsid w:val="002517AA"/>
    <w:rsid w:val="00287D0D"/>
    <w:rsid w:val="00290DAC"/>
    <w:rsid w:val="0029576F"/>
    <w:rsid w:val="002A559D"/>
    <w:rsid w:val="002B0ACF"/>
    <w:rsid w:val="002D1E96"/>
    <w:rsid w:val="002E5C22"/>
    <w:rsid w:val="002E7A6D"/>
    <w:rsid w:val="002F0623"/>
    <w:rsid w:val="002F0E39"/>
    <w:rsid w:val="002F2A08"/>
    <w:rsid w:val="003017EF"/>
    <w:rsid w:val="00321DE2"/>
    <w:rsid w:val="00341CFB"/>
    <w:rsid w:val="00342171"/>
    <w:rsid w:val="00343DF8"/>
    <w:rsid w:val="00370613"/>
    <w:rsid w:val="00375D7D"/>
    <w:rsid w:val="003842F1"/>
    <w:rsid w:val="00390DA1"/>
    <w:rsid w:val="00395154"/>
    <w:rsid w:val="003A3C40"/>
    <w:rsid w:val="003C1AD9"/>
    <w:rsid w:val="003C439C"/>
    <w:rsid w:val="003C5AAA"/>
    <w:rsid w:val="003D1F07"/>
    <w:rsid w:val="003E23F2"/>
    <w:rsid w:val="003E317E"/>
    <w:rsid w:val="003F2B9D"/>
    <w:rsid w:val="00417A01"/>
    <w:rsid w:val="0042661C"/>
    <w:rsid w:val="00436C1F"/>
    <w:rsid w:val="00436F44"/>
    <w:rsid w:val="00437808"/>
    <w:rsid w:val="004430E4"/>
    <w:rsid w:val="00445E60"/>
    <w:rsid w:val="00447923"/>
    <w:rsid w:val="0045571B"/>
    <w:rsid w:val="00461358"/>
    <w:rsid w:val="004651D9"/>
    <w:rsid w:val="00473F4E"/>
    <w:rsid w:val="0047720A"/>
    <w:rsid w:val="00487297"/>
    <w:rsid w:val="004B1109"/>
    <w:rsid w:val="004B51B5"/>
    <w:rsid w:val="004B5AAC"/>
    <w:rsid w:val="004B6E40"/>
    <w:rsid w:val="004C6B43"/>
    <w:rsid w:val="004D6E00"/>
    <w:rsid w:val="004E294E"/>
    <w:rsid w:val="004E3C99"/>
    <w:rsid w:val="004E4955"/>
    <w:rsid w:val="004F457C"/>
    <w:rsid w:val="004F7348"/>
    <w:rsid w:val="00503F18"/>
    <w:rsid w:val="0051358B"/>
    <w:rsid w:val="00516CF4"/>
    <w:rsid w:val="00533F1A"/>
    <w:rsid w:val="005423D5"/>
    <w:rsid w:val="005428D7"/>
    <w:rsid w:val="00542E34"/>
    <w:rsid w:val="00547FEB"/>
    <w:rsid w:val="005511FE"/>
    <w:rsid w:val="00561D55"/>
    <w:rsid w:val="00566455"/>
    <w:rsid w:val="00571B4E"/>
    <w:rsid w:val="00577133"/>
    <w:rsid w:val="005908E4"/>
    <w:rsid w:val="005A3BF9"/>
    <w:rsid w:val="005B0F38"/>
    <w:rsid w:val="005C4A2F"/>
    <w:rsid w:val="005D4FCF"/>
    <w:rsid w:val="005F5B0B"/>
    <w:rsid w:val="00604C5A"/>
    <w:rsid w:val="00604E20"/>
    <w:rsid w:val="00616483"/>
    <w:rsid w:val="00624A4C"/>
    <w:rsid w:val="00625CB0"/>
    <w:rsid w:val="00632917"/>
    <w:rsid w:val="00633F0C"/>
    <w:rsid w:val="0065085B"/>
    <w:rsid w:val="006542DA"/>
    <w:rsid w:val="00655814"/>
    <w:rsid w:val="0065726B"/>
    <w:rsid w:val="00665A4F"/>
    <w:rsid w:val="00674B0C"/>
    <w:rsid w:val="00676695"/>
    <w:rsid w:val="00683AA0"/>
    <w:rsid w:val="006912BE"/>
    <w:rsid w:val="00696AB8"/>
    <w:rsid w:val="006B20E2"/>
    <w:rsid w:val="006C43DA"/>
    <w:rsid w:val="006C7CA6"/>
    <w:rsid w:val="006D0288"/>
    <w:rsid w:val="006D0B75"/>
    <w:rsid w:val="006D12FF"/>
    <w:rsid w:val="006D1A8E"/>
    <w:rsid w:val="006D4084"/>
    <w:rsid w:val="006E0723"/>
    <w:rsid w:val="006E3CCC"/>
    <w:rsid w:val="006E5177"/>
    <w:rsid w:val="006E7F4D"/>
    <w:rsid w:val="006F4771"/>
    <w:rsid w:val="00721C6A"/>
    <w:rsid w:val="0072430E"/>
    <w:rsid w:val="00730198"/>
    <w:rsid w:val="00741F75"/>
    <w:rsid w:val="00746B4D"/>
    <w:rsid w:val="007543A5"/>
    <w:rsid w:val="00757669"/>
    <w:rsid w:val="007649A3"/>
    <w:rsid w:val="007650E1"/>
    <w:rsid w:val="007657F8"/>
    <w:rsid w:val="0076797D"/>
    <w:rsid w:val="007A2125"/>
    <w:rsid w:val="007A4D5E"/>
    <w:rsid w:val="007C1416"/>
    <w:rsid w:val="007C73B3"/>
    <w:rsid w:val="007D227C"/>
    <w:rsid w:val="007E06DA"/>
    <w:rsid w:val="007E1804"/>
    <w:rsid w:val="007E6D5C"/>
    <w:rsid w:val="007F01C9"/>
    <w:rsid w:val="00803DDE"/>
    <w:rsid w:val="00822B5E"/>
    <w:rsid w:val="0083167D"/>
    <w:rsid w:val="008345D9"/>
    <w:rsid w:val="00852C38"/>
    <w:rsid w:val="00853AF7"/>
    <w:rsid w:val="008545ED"/>
    <w:rsid w:val="0087015B"/>
    <w:rsid w:val="008801DD"/>
    <w:rsid w:val="008B52F5"/>
    <w:rsid w:val="008C10A9"/>
    <w:rsid w:val="008D0198"/>
    <w:rsid w:val="008D0FA5"/>
    <w:rsid w:val="008D2E2C"/>
    <w:rsid w:val="008D4F70"/>
    <w:rsid w:val="008E1E06"/>
    <w:rsid w:val="008E43FE"/>
    <w:rsid w:val="008F068A"/>
    <w:rsid w:val="00900244"/>
    <w:rsid w:val="009077CE"/>
    <w:rsid w:val="00913A7E"/>
    <w:rsid w:val="0091657F"/>
    <w:rsid w:val="0091705C"/>
    <w:rsid w:val="00917D39"/>
    <w:rsid w:val="0093172A"/>
    <w:rsid w:val="00932544"/>
    <w:rsid w:val="009403E4"/>
    <w:rsid w:val="00943418"/>
    <w:rsid w:val="009458F1"/>
    <w:rsid w:val="00964892"/>
    <w:rsid w:val="009724C1"/>
    <w:rsid w:val="00972A58"/>
    <w:rsid w:val="00983F67"/>
    <w:rsid w:val="0099005E"/>
    <w:rsid w:val="00991FA5"/>
    <w:rsid w:val="0099354D"/>
    <w:rsid w:val="009C1533"/>
    <w:rsid w:val="009C5C95"/>
    <w:rsid w:val="009D0C5F"/>
    <w:rsid w:val="009E0ABA"/>
    <w:rsid w:val="009E315C"/>
    <w:rsid w:val="009F21EB"/>
    <w:rsid w:val="00A001B5"/>
    <w:rsid w:val="00A07B4F"/>
    <w:rsid w:val="00A101DB"/>
    <w:rsid w:val="00A15FE2"/>
    <w:rsid w:val="00A2316E"/>
    <w:rsid w:val="00A241D5"/>
    <w:rsid w:val="00A552CA"/>
    <w:rsid w:val="00A67DE2"/>
    <w:rsid w:val="00A70B28"/>
    <w:rsid w:val="00A723BA"/>
    <w:rsid w:val="00A73F04"/>
    <w:rsid w:val="00A74731"/>
    <w:rsid w:val="00A7644C"/>
    <w:rsid w:val="00A82AE3"/>
    <w:rsid w:val="00A861B9"/>
    <w:rsid w:val="00A945DD"/>
    <w:rsid w:val="00AA484B"/>
    <w:rsid w:val="00AB526C"/>
    <w:rsid w:val="00AC3976"/>
    <w:rsid w:val="00AC5866"/>
    <w:rsid w:val="00AD4252"/>
    <w:rsid w:val="00AD68B5"/>
    <w:rsid w:val="00AE0AE7"/>
    <w:rsid w:val="00AE3D13"/>
    <w:rsid w:val="00B06031"/>
    <w:rsid w:val="00B20C48"/>
    <w:rsid w:val="00B210F1"/>
    <w:rsid w:val="00B26095"/>
    <w:rsid w:val="00B3717F"/>
    <w:rsid w:val="00B43427"/>
    <w:rsid w:val="00B43C19"/>
    <w:rsid w:val="00B639BE"/>
    <w:rsid w:val="00B70730"/>
    <w:rsid w:val="00B720F6"/>
    <w:rsid w:val="00B74AF6"/>
    <w:rsid w:val="00B76847"/>
    <w:rsid w:val="00B91050"/>
    <w:rsid w:val="00BB1800"/>
    <w:rsid w:val="00BB25A0"/>
    <w:rsid w:val="00BB7452"/>
    <w:rsid w:val="00BC24D0"/>
    <w:rsid w:val="00BC5AA2"/>
    <w:rsid w:val="00BD0382"/>
    <w:rsid w:val="00BD4309"/>
    <w:rsid w:val="00BD75FF"/>
    <w:rsid w:val="00BE4AB2"/>
    <w:rsid w:val="00BF66AA"/>
    <w:rsid w:val="00C042A2"/>
    <w:rsid w:val="00C055FC"/>
    <w:rsid w:val="00C2126E"/>
    <w:rsid w:val="00C3101B"/>
    <w:rsid w:val="00C315E5"/>
    <w:rsid w:val="00C439B8"/>
    <w:rsid w:val="00C47D9C"/>
    <w:rsid w:val="00C52423"/>
    <w:rsid w:val="00C54023"/>
    <w:rsid w:val="00C60CE4"/>
    <w:rsid w:val="00C61470"/>
    <w:rsid w:val="00C75D85"/>
    <w:rsid w:val="00C77F74"/>
    <w:rsid w:val="00C93417"/>
    <w:rsid w:val="00C95241"/>
    <w:rsid w:val="00C9589C"/>
    <w:rsid w:val="00CA29F4"/>
    <w:rsid w:val="00CB3602"/>
    <w:rsid w:val="00CB7D0C"/>
    <w:rsid w:val="00CC1554"/>
    <w:rsid w:val="00CC4887"/>
    <w:rsid w:val="00CC4C45"/>
    <w:rsid w:val="00CD5803"/>
    <w:rsid w:val="00CE160F"/>
    <w:rsid w:val="00CF256A"/>
    <w:rsid w:val="00CF2652"/>
    <w:rsid w:val="00CF4491"/>
    <w:rsid w:val="00CF65CB"/>
    <w:rsid w:val="00D04E92"/>
    <w:rsid w:val="00D061ED"/>
    <w:rsid w:val="00D2055C"/>
    <w:rsid w:val="00D21E64"/>
    <w:rsid w:val="00D25E10"/>
    <w:rsid w:val="00D26CC8"/>
    <w:rsid w:val="00D33D4F"/>
    <w:rsid w:val="00D4333F"/>
    <w:rsid w:val="00D505E9"/>
    <w:rsid w:val="00D76DDE"/>
    <w:rsid w:val="00D927C6"/>
    <w:rsid w:val="00DA1AC7"/>
    <w:rsid w:val="00DB17D0"/>
    <w:rsid w:val="00DB550D"/>
    <w:rsid w:val="00DD128A"/>
    <w:rsid w:val="00DD5A20"/>
    <w:rsid w:val="00DE38FF"/>
    <w:rsid w:val="00DE6C23"/>
    <w:rsid w:val="00E17831"/>
    <w:rsid w:val="00E26CA3"/>
    <w:rsid w:val="00E351EF"/>
    <w:rsid w:val="00E56CCF"/>
    <w:rsid w:val="00E57788"/>
    <w:rsid w:val="00E61891"/>
    <w:rsid w:val="00E64832"/>
    <w:rsid w:val="00E65A37"/>
    <w:rsid w:val="00E67FC2"/>
    <w:rsid w:val="00E81AAC"/>
    <w:rsid w:val="00E832C3"/>
    <w:rsid w:val="00E851F4"/>
    <w:rsid w:val="00E92E7D"/>
    <w:rsid w:val="00EA26C2"/>
    <w:rsid w:val="00EB22EB"/>
    <w:rsid w:val="00EB2AAA"/>
    <w:rsid w:val="00EB4D51"/>
    <w:rsid w:val="00EC3CAB"/>
    <w:rsid w:val="00ED2784"/>
    <w:rsid w:val="00EE10D0"/>
    <w:rsid w:val="00EF6F75"/>
    <w:rsid w:val="00F01383"/>
    <w:rsid w:val="00F04E06"/>
    <w:rsid w:val="00F060DC"/>
    <w:rsid w:val="00F1492E"/>
    <w:rsid w:val="00F233EB"/>
    <w:rsid w:val="00F26F53"/>
    <w:rsid w:val="00F344B9"/>
    <w:rsid w:val="00F35002"/>
    <w:rsid w:val="00F418C3"/>
    <w:rsid w:val="00F426BB"/>
    <w:rsid w:val="00F46D7D"/>
    <w:rsid w:val="00F6411A"/>
    <w:rsid w:val="00F67BBE"/>
    <w:rsid w:val="00F727F4"/>
    <w:rsid w:val="00F821A6"/>
    <w:rsid w:val="00F82CB3"/>
    <w:rsid w:val="00FA1A89"/>
    <w:rsid w:val="00FB2978"/>
    <w:rsid w:val="00FB611B"/>
    <w:rsid w:val="00FC278E"/>
    <w:rsid w:val="00FE00B6"/>
    <w:rsid w:val="00FE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D4F70"/>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8D4F70"/>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8D4F70"/>
    <w:pPr>
      <w:spacing w:before="240" w:after="80"/>
      <w:jc w:val="left"/>
      <w:outlineLvl w:val="1"/>
    </w:pPr>
    <w:rPr>
      <w:b/>
      <w:smallCaps/>
      <w:spacing w:val="5"/>
      <w:sz w:val="28"/>
      <w:szCs w:val="28"/>
    </w:rPr>
  </w:style>
  <w:style w:type="paragraph" w:styleId="Heading3">
    <w:name w:val="heading 3"/>
    <w:basedOn w:val="Normal"/>
    <w:next w:val="Normal"/>
    <w:link w:val="Heading3Char"/>
    <w:uiPriority w:val="9"/>
    <w:unhideWhenUsed/>
    <w:qFormat/>
    <w:rsid w:val="008D4F70"/>
    <w:pPr>
      <w:spacing w:after="0"/>
      <w:jc w:val="left"/>
      <w:outlineLvl w:val="2"/>
    </w:pPr>
    <w:rPr>
      <w:b/>
      <w:spacing w:val="5"/>
    </w:rPr>
  </w:style>
  <w:style w:type="paragraph" w:styleId="Heading4">
    <w:name w:val="heading 4"/>
    <w:basedOn w:val="Normal"/>
    <w:next w:val="Normal"/>
    <w:link w:val="Heading4Char"/>
    <w:uiPriority w:val="9"/>
    <w:unhideWhenUsed/>
    <w:qFormat/>
    <w:rsid w:val="008D4F7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D4F7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8D4F7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8D4F7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8D4F7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8D4F7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F70"/>
    <w:rPr>
      <w:b/>
      <w:smallCaps/>
      <w:spacing w:val="5"/>
      <w:sz w:val="32"/>
      <w:szCs w:val="32"/>
    </w:rPr>
  </w:style>
  <w:style w:type="character" w:customStyle="1" w:styleId="Heading2Char">
    <w:name w:val="Heading 2 Char"/>
    <w:basedOn w:val="DefaultParagraphFont"/>
    <w:link w:val="Heading2"/>
    <w:uiPriority w:val="9"/>
    <w:rsid w:val="008D4F70"/>
    <w:rPr>
      <w:b/>
      <w:smallCaps/>
      <w:spacing w:val="5"/>
      <w:sz w:val="28"/>
      <w:szCs w:val="28"/>
    </w:rPr>
  </w:style>
  <w:style w:type="character" w:customStyle="1" w:styleId="Heading3Char">
    <w:name w:val="Heading 3 Char"/>
    <w:basedOn w:val="DefaultParagraphFont"/>
    <w:link w:val="Heading3"/>
    <w:uiPriority w:val="9"/>
    <w:rsid w:val="008D4F70"/>
    <w:rPr>
      <w:b/>
      <w:spacing w:val="5"/>
      <w:sz w:val="24"/>
      <w:szCs w:val="24"/>
    </w:rPr>
  </w:style>
  <w:style w:type="character" w:customStyle="1" w:styleId="Heading4Char">
    <w:name w:val="Heading 4 Char"/>
    <w:basedOn w:val="DefaultParagraphFont"/>
    <w:link w:val="Heading4"/>
    <w:uiPriority w:val="9"/>
    <w:rsid w:val="008D4F70"/>
    <w:rPr>
      <w:smallCaps/>
      <w:spacing w:val="10"/>
      <w:sz w:val="22"/>
      <w:szCs w:val="22"/>
    </w:rPr>
  </w:style>
  <w:style w:type="character" w:customStyle="1" w:styleId="Heading5Char">
    <w:name w:val="Heading 5 Char"/>
    <w:basedOn w:val="DefaultParagraphFont"/>
    <w:link w:val="Heading5"/>
    <w:uiPriority w:val="9"/>
    <w:semiHidden/>
    <w:rsid w:val="008D4F70"/>
    <w:rPr>
      <w:smallCaps/>
      <w:color w:val="943634"/>
      <w:spacing w:val="10"/>
      <w:sz w:val="22"/>
      <w:szCs w:val="26"/>
    </w:rPr>
  </w:style>
  <w:style w:type="character" w:customStyle="1" w:styleId="Heading6Char">
    <w:name w:val="Heading 6 Char"/>
    <w:basedOn w:val="DefaultParagraphFont"/>
    <w:link w:val="Heading6"/>
    <w:uiPriority w:val="9"/>
    <w:semiHidden/>
    <w:rsid w:val="008D4F70"/>
    <w:rPr>
      <w:smallCaps/>
      <w:color w:val="C0504D"/>
      <w:spacing w:val="5"/>
      <w:sz w:val="22"/>
    </w:rPr>
  </w:style>
  <w:style w:type="character" w:customStyle="1" w:styleId="Heading7Char">
    <w:name w:val="Heading 7 Char"/>
    <w:basedOn w:val="DefaultParagraphFont"/>
    <w:link w:val="Heading7"/>
    <w:uiPriority w:val="9"/>
    <w:semiHidden/>
    <w:rsid w:val="008D4F70"/>
    <w:rPr>
      <w:b/>
      <w:smallCaps/>
      <w:color w:val="C0504D"/>
      <w:spacing w:val="10"/>
    </w:rPr>
  </w:style>
  <w:style w:type="character" w:customStyle="1" w:styleId="Heading8Char">
    <w:name w:val="Heading 8 Char"/>
    <w:basedOn w:val="DefaultParagraphFont"/>
    <w:link w:val="Heading8"/>
    <w:uiPriority w:val="9"/>
    <w:semiHidden/>
    <w:rsid w:val="008D4F70"/>
    <w:rPr>
      <w:b/>
      <w:i/>
      <w:smallCaps/>
      <w:color w:val="943634"/>
    </w:rPr>
  </w:style>
  <w:style w:type="character" w:customStyle="1" w:styleId="Heading9Char">
    <w:name w:val="Heading 9 Char"/>
    <w:basedOn w:val="DefaultParagraphFont"/>
    <w:link w:val="Heading9"/>
    <w:uiPriority w:val="9"/>
    <w:semiHidden/>
    <w:rsid w:val="008D4F70"/>
    <w:rPr>
      <w:b/>
      <w:i/>
      <w:smallCaps/>
      <w:color w:val="622423"/>
    </w:rPr>
  </w:style>
  <w:style w:type="paragraph" w:styleId="Title">
    <w:name w:val="Title"/>
    <w:basedOn w:val="Normal"/>
    <w:next w:val="Normal"/>
    <w:link w:val="TitleChar"/>
    <w:uiPriority w:val="10"/>
    <w:qFormat/>
    <w:rsid w:val="008D4F7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8D4F70"/>
    <w:rPr>
      <w:smallCaps/>
      <w:sz w:val="48"/>
      <w:szCs w:val="48"/>
    </w:rPr>
  </w:style>
  <w:style w:type="paragraph" w:styleId="Subtitle">
    <w:name w:val="Subtitle"/>
    <w:basedOn w:val="Normal"/>
    <w:next w:val="Normal"/>
    <w:link w:val="SubtitleChar"/>
    <w:uiPriority w:val="11"/>
    <w:qFormat/>
    <w:rsid w:val="008D4F7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8D4F70"/>
    <w:rPr>
      <w:rFonts w:ascii="Cambria" w:eastAsia="Times New Roman" w:hAnsi="Cambria" w:cs="Times New Roman"/>
      <w:szCs w:val="22"/>
    </w:rPr>
  </w:style>
  <w:style w:type="character" w:styleId="Strong">
    <w:name w:val="Strong"/>
    <w:uiPriority w:val="22"/>
    <w:qFormat/>
    <w:rsid w:val="008D4F70"/>
    <w:rPr>
      <w:b/>
      <w:color w:val="C0504D"/>
    </w:rPr>
  </w:style>
  <w:style w:type="character" w:styleId="Emphasis">
    <w:name w:val="Emphasis"/>
    <w:uiPriority w:val="20"/>
    <w:qFormat/>
    <w:rsid w:val="008D4F70"/>
    <w:rPr>
      <w:b/>
      <w:i/>
      <w:spacing w:val="10"/>
    </w:rPr>
  </w:style>
  <w:style w:type="paragraph" w:styleId="NoSpacing">
    <w:name w:val="No Spacing"/>
    <w:basedOn w:val="Normal"/>
    <w:link w:val="NoSpacingChar"/>
    <w:uiPriority w:val="1"/>
    <w:qFormat/>
    <w:rsid w:val="008D4F70"/>
    <w:pPr>
      <w:spacing w:after="0" w:line="240" w:lineRule="auto"/>
    </w:pPr>
  </w:style>
  <w:style w:type="character" w:customStyle="1" w:styleId="NoSpacingChar">
    <w:name w:val="No Spacing Char"/>
    <w:basedOn w:val="DefaultParagraphFont"/>
    <w:link w:val="NoSpacing"/>
    <w:uiPriority w:val="1"/>
    <w:rsid w:val="008D4F70"/>
  </w:style>
  <w:style w:type="paragraph" w:styleId="ListParagraph">
    <w:name w:val="List Paragraph"/>
    <w:basedOn w:val="Normal"/>
    <w:uiPriority w:val="34"/>
    <w:qFormat/>
    <w:rsid w:val="008D4F70"/>
    <w:pPr>
      <w:ind w:left="720"/>
      <w:contextualSpacing/>
    </w:pPr>
  </w:style>
  <w:style w:type="paragraph" w:styleId="Quote">
    <w:name w:val="Quote"/>
    <w:basedOn w:val="Normal"/>
    <w:next w:val="Normal"/>
    <w:link w:val="QuoteChar"/>
    <w:uiPriority w:val="29"/>
    <w:qFormat/>
    <w:rsid w:val="008D4F70"/>
    <w:rPr>
      <w:i/>
    </w:rPr>
  </w:style>
  <w:style w:type="character" w:customStyle="1" w:styleId="QuoteChar">
    <w:name w:val="Quote Char"/>
    <w:basedOn w:val="DefaultParagraphFont"/>
    <w:link w:val="Quote"/>
    <w:uiPriority w:val="29"/>
    <w:rsid w:val="008D4F70"/>
    <w:rPr>
      <w:i/>
    </w:rPr>
  </w:style>
  <w:style w:type="paragraph" w:styleId="IntenseQuote">
    <w:name w:val="Intense Quote"/>
    <w:basedOn w:val="Normal"/>
    <w:next w:val="Normal"/>
    <w:link w:val="IntenseQuoteChar"/>
    <w:uiPriority w:val="30"/>
    <w:qFormat/>
    <w:rsid w:val="008D4F7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8D4F70"/>
    <w:rPr>
      <w:b/>
      <w:i/>
      <w:color w:val="FFFFFF"/>
      <w:shd w:val="clear" w:color="auto" w:fill="C0504D"/>
    </w:rPr>
  </w:style>
  <w:style w:type="character" w:styleId="SubtleEmphasis">
    <w:name w:val="Subtle Emphasis"/>
    <w:uiPriority w:val="19"/>
    <w:qFormat/>
    <w:rsid w:val="008D4F70"/>
    <w:rPr>
      <w:i/>
    </w:rPr>
  </w:style>
  <w:style w:type="character" w:styleId="IntenseEmphasis">
    <w:name w:val="Intense Emphasis"/>
    <w:uiPriority w:val="21"/>
    <w:qFormat/>
    <w:rsid w:val="008D4F70"/>
    <w:rPr>
      <w:b/>
      <w:i/>
      <w:color w:val="C0504D"/>
      <w:spacing w:val="10"/>
    </w:rPr>
  </w:style>
  <w:style w:type="character" w:styleId="SubtleReference">
    <w:name w:val="Subtle Reference"/>
    <w:uiPriority w:val="31"/>
    <w:qFormat/>
    <w:rsid w:val="008D4F70"/>
    <w:rPr>
      <w:b/>
    </w:rPr>
  </w:style>
  <w:style w:type="character" w:styleId="IntenseReference">
    <w:name w:val="Intense Reference"/>
    <w:uiPriority w:val="32"/>
    <w:qFormat/>
    <w:rsid w:val="008D4F70"/>
    <w:rPr>
      <w:b/>
      <w:bCs/>
      <w:smallCaps/>
      <w:spacing w:val="5"/>
      <w:sz w:val="22"/>
      <w:szCs w:val="22"/>
      <w:u w:val="single"/>
    </w:rPr>
  </w:style>
  <w:style w:type="character" w:styleId="BookTitle">
    <w:name w:val="Book Title"/>
    <w:uiPriority w:val="33"/>
    <w:qFormat/>
    <w:rsid w:val="008D4F7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D4F70"/>
    <w:pPr>
      <w:outlineLvl w:val="9"/>
    </w:pPr>
  </w:style>
  <w:style w:type="paragraph" w:styleId="Caption">
    <w:name w:val="caption"/>
    <w:basedOn w:val="Normal"/>
    <w:next w:val="Normal"/>
    <w:uiPriority w:val="35"/>
    <w:semiHidden/>
    <w:unhideWhenUsed/>
    <w:qFormat/>
    <w:rsid w:val="008D4F70"/>
    <w:rPr>
      <w:b/>
      <w:bCs/>
      <w:caps/>
      <w:sz w:val="16"/>
      <w:szCs w:val="18"/>
    </w:rPr>
  </w:style>
  <w:style w:type="paragraph" w:customStyle="1" w:styleId="Heading31">
    <w:name w:val="Heading 31"/>
    <w:aliases w:val="h3,heading 31"/>
    <w:basedOn w:val="Normal"/>
    <w:next w:val="Normal"/>
    <w:rsid w:val="008D4F70"/>
    <w:pPr>
      <w:keepNext/>
      <w:spacing w:line="260" w:lineRule="atLeast"/>
      <w:ind w:left="720" w:right="640" w:hanging="720"/>
      <w:jc w:val="left"/>
    </w:pPr>
    <w:rPr>
      <w:rFonts w:ascii="Times" w:hAnsi="Times"/>
      <w:b/>
      <w:sz w:val="28"/>
      <w:lang w:bidi="ar-SA"/>
    </w:rPr>
  </w:style>
  <w:style w:type="paragraph" w:styleId="BalloonText">
    <w:name w:val="Balloon Text"/>
    <w:basedOn w:val="Normal"/>
    <w:link w:val="BalloonTextChar"/>
    <w:uiPriority w:val="99"/>
    <w:semiHidden/>
    <w:unhideWhenUsed/>
    <w:rsid w:val="008D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70"/>
    <w:rPr>
      <w:rFonts w:ascii="Tahoma" w:hAnsi="Tahoma" w:cs="Tahoma"/>
      <w:sz w:val="16"/>
      <w:szCs w:val="16"/>
    </w:rPr>
  </w:style>
  <w:style w:type="paragraph" w:styleId="Header">
    <w:name w:val="header"/>
    <w:basedOn w:val="Normal"/>
    <w:link w:val="HeaderChar"/>
    <w:uiPriority w:val="99"/>
    <w:semiHidden/>
    <w:unhideWhenUsed/>
    <w:rsid w:val="000A6246"/>
    <w:pPr>
      <w:tabs>
        <w:tab w:val="center" w:pos="4513"/>
        <w:tab w:val="right" w:pos="9026"/>
      </w:tabs>
    </w:pPr>
  </w:style>
  <w:style w:type="character" w:customStyle="1" w:styleId="HeaderChar">
    <w:name w:val="Header Char"/>
    <w:basedOn w:val="DefaultParagraphFont"/>
    <w:link w:val="Header"/>
    <w:uiPriority w:val="99"/>
    <w:semiHidden/>
    <w:rsid w:val="000A6246"/>
    <w:rPr>
      <w:sz w:val="24"/>
      <w:lang w:val="en-US" w:eastAsia="en-US" w:bidi="en-US"/>
    </w:rPr>
  </w:style>
  <w:style w:type="paragraph" w:styleId="Footer">
    <w:name w:val="footer"/>
    <w:basedOn w:val="Normal"/>
    <w:link w:val="FooterChar"/>
    <w:uiPriority w:val="99"/>
    <w:unhideWhenUsed/>
    <w:rsid w:val="000A6246"/>
    <w:pPr>
      <w:tabs>
        <w:tab w:val="center" w:pos="4513"/>
        <w:tab w:val="right" w:pos="9026"/>
      </w:tabs>
    </w:pPr>
  </w:style>
  <w:style w:type="character" w:customStyle="1" w:styleId="FooterChar">
    <w:name w:val="Footer Char"/>
    <w:basedOn w:val="DefaultParagraphFont"/>
    <w:link w:val="Footer"/>
    <w:uiPriority w:val="99"/>
    <w:rsid w:val="000A6246"/>
    <w:rPr>
      <w:sz w:val="24"/>
      <w:lang w:val="en-US" w:eastAsia="en-US" w:bidi="en-US"/>
    </w:rPr>
  </w:style>
  <w:style w:type="character" w:styleId="CommentReference">
    <w:name w:val="annotation reference"/>
    <w:basedOn w:val="DefaultParagraphFont"/>
    <w:uiPriority w:val="99"/>
    <w:semiHidden/>
    <w:unhideWhenUsed/>
    <w:rsid w:val="00CC4C45"/>
    <w:rPr>
      <w:sz w:val="16"/>
      <w:szCs w:val="16"/>
    </w:rPr>
  </w:style>
  <w:style w:type="paragraph" w:styleId="CommentText">
    <w:name w:val="annotation text"/>
    <w:basedOn w:val="Normal"/>
    <w:link w:val="CommentTextChar"/>
    <w:uiPriority w:val="99"/>
    <w:semiHidden/>
    <w:unhideWhenUsed/>
    <w:rsid w:val="00CC4C45"/>
    <w:pPr>
      <w:spacing w:line="240" w:lineRule="auto"/>
    </w:pPr>
    <w:rPr>
      <w:sz w:val="20"/>
    </w:rPr>
  </w:style>
  <w:style w:type="character" w:customStyle="1" w:styleId="CommentTextChar">
    <w:name w:val="Comment Text Char"/>
    <w:basedOn w:val="DefaultParagraphFont"/>
    <w:link w:val="CommentText"/>
    <w:uiPriority w:val="99"/>
    <w:semiHidden/>
    <w:rsid w:val="00CC4C45"/>
    <w:rPr>
      <w:lang w:val="en-US" w:eastAsia="en-US" w:bidi="en-US"/>
    </w:rPr>
  </w:style>
  <w:style w:type="paragraph" w:styleId="CommentSubject">
    <w:name w:val="annotation subject"/>
    <w:basedOn w:val="CommentText"/>
    <w:next w:val="CommentText"/>
    <w:link w:val="CommentSubjectChar"/>
    <w:uiPriority w:val="99"/>
    <w:semiHidden/>
    <w:unhideWhenUsed/>
    <w:rsid w:val="00CC4C45"/>
    <w:rPr>
      <w:b/>
      <w:bCs/>
    </w:rPr>
  </w:style>
  <w:style w:type="character" w:customStyle="1" w:styleId="CommentSubjectChar">
    <w:name w:val="Comment Subject Char"/>
    <w:basedOn w:val="CommentTextChar"/>
    <w:link w:val="CommentSubject"/>
    <w:uiPriority w:val="99"/>
    <w:semiHidden/>
    <w:rsid w:val="00CC4C45"/>
    <w:rPr>
      <w:b/>
      <w:bCs/>
    </w:rPr>
  </w:style>
  <w:style w:type="paragraph" w:styleId="PlainText">
    <w:name w:val="Plain Text"/>
    <w:basedOn w:val="Normal"/>
    <w:link w:val="PlainTextChar"/>
    <w:uiPriority w:val="99"/>
    <w:unhideWhenUsed/>
    <w:rsid w:val="00DB550D"/>
    <w:pPr>
      <w:spacing w:after="0" w:line="240" w:lineRule="auto"/>
      <w:jc w:val="left"/>
    </w:pPr>
    <w:rPr>
      <w:rFonts w:ascii="Courier New" w:eastAsia="Calibri" w:hAnsi="Courier New"/>
      <w:sz w:val="20"/>
      <w:szCs w:val="21"/>
      <w:lang w:val="en-GB" w:bidi="ar-SA"/>
    </w:rPr>
  </w:style>
  <w:style w:type="character" w:customStyle="1" w:styleId="PlainTextChar">
    <w:name w:val="Plain Text Char"/>
    <w:basedOn w:val="DefaultParagraphFont"/>
    <w:link w:val="PlainText"/>
    <w:uiPriority w:val="99"/>
    <w:rsid w:val="00DB550D"/>
    <w:rPr>
      <w:rFonts w:ascii="Courier New" w:eastAsia="Calibri" w:hAnsi="Courier New"/>
      <w:sz w:val="20"/>
      <w:szCs w:val="21"/>
      <w:lang w:eastAsia="en-US"/>
    </w:rPr>
  </w:style>
  <w:style w:type="table" w:styleId="TableGrid">
    <w:name w:val="Table Grid"/>
    <w:basedOn w:val="TableNormal"/>
    <w:uiPriority w:val="59"/>
    <w:rsid w:val="00D76D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qFormat/>
    <w:rsid w:val="00D21E64"/>
    <w:pPr>
      <w:numPr>
        <w:numId w:val="8"/>
      </w:numPr>
      <w:spacing w:after="120" w:line="240" w:lineRule="auto"/>
    </w:pPr>
    <w:rPr>
      <w:rFonts w:asciiTheme="minorHAnsi" w:hAnsiTheme="minorHAnsi"/>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CF77-8762-439C-8EE9-DB4055D1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2659</Words>
  <Characters>15159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Rielly</dc:creator>
  <cp:keywords/>
  <dc:description/>
  <cp:lastModifiedBy>Administrator</cp:lastModifiedBy>
  <cp:revision>2</cp:revision>
  <cp:lastPrinted>2010-06-11T10:52:00Z</cp:lastPrinted>
  <dcterms:created xsi:type="dcterms:W3CDTF">2010-06-23T13:04:00Z</dcterms:created>
  <dcterms:modified xsi:type="dcterms:W3CDTF">2010-06-23T13:04:00Z</dcterms:modified>
</cp:coreProperties>
</file>